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cs="Arial"/>
          <w:b/>
          <w:lang w:val="en-US" w:eastAsia="zh-CN"/>
        </w:rPr>
      </w:pPr>
      <w:bookmarkStart w:id="0" w:name="OLE_LINK24"/>
      <w:bookmarkStart w:id="1" w:name="OLE_LINK13"/>
      <w:bookmarkStart w:id="2" w:name="OLE_LINK34"/>
      <w:bookmarkStart w:id="3" w:name="OLE_LINK33"/>
      <w:bookmarkStart w:id="4" w:name="OLE_LINK12"/>
      <w:r>
        <w:rPr>
          <w:rFonts w:cs="Arial"/>
          <w:b/>
        </w:rPr>
        <w:t>3GPP TSG-RAN WG2 Meeting #11</w:t>
      </w:r>
      <w:r>
        <w:rPr>
          <w:rFonts w:hint="eastAsia" w:cs="Arial"/>
          <w:b/>
          <w:lang w:val="en-US" w:eastAsia="zh-CN"/>
        </w:rPr>
        <w:t>9</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207585</w:t>
      </w:r>
    </w:p>
    <w:p>
      <w:pPr>
        <w:snapToGrid w:val="0"/>
        <w:spacing w:after="0" w:line="240" w:lineRule="auto"/>
        <w:rPr>
          <w:rFonts w:cs="Arial"/>
          <w:b/>
          <w:lang w:val="en-US" w:eastAsia="zh-CN"/>
        </w:rPr>
      </w:pPr>
      <w:r>
        <w:rPr>
          <w:rFonts w:cs="Arial"/>
          <w:b/>
        </w:rPr>
        <w:t xml:space="preserve">Online, </w:t>
      </w:r>
      <w:r>
        <w:rPr>
          <w:rFonts w:hint="eastAsia" w:cs="Arial"/>
          <w:b/>
          <w:lang w:val="en-US" w:eastAsia="zh-CN"/>
        </w:rPr>
        <w:t>Aug</w:t>
      </w:r>
      <w:r>
        <w:rPr>
          <w:rFonts w:cs="Arial"/>
          <w:b/>
        </w:rPr>
        <w:t xml:space="preserve"> </w:t>
      </w:r>
      <w:r>
        <w:rPr>
          <w:rFonts w:hint="eastAsia" w:cs="Arial"/>
          <w:b/>
          <w:lang w:val="en-US" w:eastAsia="zh-CN"/>
        </w:rPr>
        <w:t>17</w:t>
      </w:r>
      <w:r>
        <w:rPr>
          <w:rFonts w:cs="Arial"/>
          <w:b/>
        </w:rPr>
        <w:t>th –</w:t>
      </w:r>
      <w:r>
        <w:rPr>
          <w:rFonts w:hint="eastAsia" w:cs="Arial"/>
          <w:b/>
          <w:lang w:val="en-US" w:eastAsia="zh-CN"/>
        </w:rPr>
        <w:t xml:space="preserve"> 29</w:t>
      </w:r>
      <w:r>
        <w:rPr>
          <w:rFonts w:cs="Arial"/>
          <w:b/>
        </w:rPr>
        <w:t>th,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RAT-dependent methods positioning integrity</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lang w:val="en-US" w:eastAsia="zh-CN"/>
        </w:rPr>
        <w:t>8.2.3</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6" w:beforeLines="50" w:after="156" w:afterLines="50" w:line="240" w:lineRule="auto"/>
        <w:rPr>
          <w:sz w:val="28"/>
          <w:lang w:val="en-US"/>
        </w:rPr>
      </w:pPr>
      <w:r>
        <w:rPr>
          <w:sz w:val="28"/>
          <w:lang w:val="en-US"/>
        </w:rPr>
        <w:t>Introduction</w:t>
      </w:r>
    </w:p>
    <w:p>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The Rel-18 SID</w:t>
      </w:r>
      <w:r>
        <w:rPr>
          <w:rFonts w:hint="eastAsia" w:ascii="Times New Roman" w:hAnsi="Times New Roman"/>
          <w:sz w:val="20"/>
          <w:szCs w:val="20"/>
          <w:lang w:val="en-US" w:eastAsia="zh-CN"/>
        </w:rPr>
        <w:t xml:space="preserve"> [1]</w:t>
      </w:r>
      <w:r>
        <w:rPr>
          <w:rFonts w:ascii="Times New Roman" w:hAnsi="Times New Roman"/>
          <w:sz w:val="20"/>
          <w:szCs w:val="20"/>
          <w:lang w:val="en-US" w:eastAsia="zh-CN"/>
        </w:rPr>
        <w:t xml:space="preserve"> specifies positioning integrity for RAT-dependent methods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numPr>
                <w:ilvl w:val="1"/>
                <w:numId w:val="6"/>
              </w:numPr>
              <w:adjustRightInd w:val="0"/>
              <w:snapToGrid w:val="0"/>
              <w:spacing w:before="50" w:after="50" w:line="240" w:lineRule="auto"/>
              <w:rPr>
                <w:rFonts w:ascii="Times New Roman" w:hAnsi="Times New Roman"/>
                <w:bCs/>
                <w:sz w:val="20"/>
                <w:szCs w:val="20"/>
              </w:rPr>
            </w:pPr>
            <w:r>
              <w:rPr>
                <w:rFonts w:ascii="Times New Roman" w:hAnsi="Times New Roman"/>
                <w:bCs/>
                <w:sz w:val="20"/>
                <w:szCs w:val="20"/>
              </w:rPr>
              <w:t>Study solutions for Integrity for RAT dependent positioning techniques [RAN2, RAN1]:</w:t>
            </w:r>
          </w:p>
          <w:p>
            <w:pPr>
              <w:numPr>
                <w:ilvl w:val="2"/>
                <w:numId w:val="6"/>
              </w:numPr>
              <w:adjustRightInd w:val="0"/>
              <w:snapToGrid w:val="0"/>
              <w:spacing w:before="50" w:after="50" w:line="240" w:lineRule="auto"/>
              <w:rPr>
                <w:rFonts w:ascii="Times New Roman" w:hAnsi="Times New Roman"/>
                <w:bCs/>
                <w:sz w:val="20"/>
                <w:szCs w:val="20"/>
              </w:rPr>
            </w:pPr>
            <w:r>
              <w:rPr>
                <w:rFonts w:ascii="Times New Roman" w:hAnsi="Times New Roman"/>
                <w:bCs/>
                <w:sz w:val="20"/>
                <w:szCs w:val="20"/>
              </w:rPr>
              <w:t>Identify the error sources, [RAN1, RAN2].</w:t>
            </w:r>
          </w:p>
          <w:p>
            <w:pPr>
              <w:numPr>
                <w:ilvl w:val="2"/>
                <w:numId w:val="6"/>
              </w:numPr>
              <w:adjustRightInd w:val="0"/>
              <w:snapToGrid w:val="0"/>
              <w:spacing w:before="50" w:after="50" w:line="240" w:lineRule="auto"/>
              <w:rPr>
                <w:rFonts w:ascii="Times New Roman" w:hAnsi="Times New Roman"/>
                <w:bCs/>
                <w:sz w:val="20"/>
                <w:szCs w:val="20"/>
              </w:rPr>
            </w:pPr>
            <w:r>
              <w:rPr>
                <w:rFonts w:ascii="Times New Roman" w:hAnsi="Times New Roman"/>
                <w:bCs/>
                <w:sz w:val="20"/>
                <w:szCs w:val="20"/>
              </w:rPr>
              <w:t>Study methodologies, procedures, signalling, etc for determination of positioning integrity for both UE-based and UE-assisted positioning [RAN2]</w:t>
            </w:r>
          </w:p>
          <w:p>
            <w:pPr>
              <w:numPr>
                <w:ilvl w:val="2"/>
                <w:numId w:val="6"/>
              </w:numPr>
              <w:adjustRightInd w:val="0"/>
              <w:snapToGrid w:val="0"/>
              <w:spacing w:before="50" w:after="50" w:line="240" w:lineRule="auto"/>
              <w:rPr>
                <w:rFonts w:ascii="Times New Roman" w:hAnsi="Times New Roman"/>
                <w:sz w:val="20"/>
                <w:szCs w:val="20"/>
                <w:lang w:val="en-US" w:eastAsia="zh-CN"/>
              </w:rPr>
            </w:pPr>
            <w:r>
              <w:rPr>
                <w:rFonts w:ascii="Times New Roman" w:hAnsi="Times New Roman"/>
                <w:bCs/>
                <w:sz w:val="20"/>
                <w:szCs w:val="20"/>
              </w:rPr>
              <w:t>Focus on reuse of concepts and principles being developed for RAT-Independent GNSS positioning integrity, where possible.</w:t>
            </w:r>
          </w:p>
        </w:tc>
      </w:tr>
    </w:tbl>
    <w:p>
      <w:pPr>
        <w:adjustRightInd w:val="0"/>
        <w:snapToGrid w:val="0"/>
        <w:spacing w:before="50" w:after="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provide our views on RAN2 signaling to support integrity of RAT-dependent positioning methods.</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lang w:val="en-US" w:eastAsia="zh-CN"/>
        </w:rPr>
      </w:pPr>
      <w:r>
        <w:rPr>
          <w:rFonts w:cs="Arial"/>
          <w:kern w:val="0"/>
          <w:sz w:val="28"/>
          <w:szCs w:val="32"/>
          <w:lang w:val="en-US" w:eastAsia="zh-CN"/>
        </w:rPr>
        <w:t xml:space="preserve"> </w:t>
      </w:r>
      <w:r>
        <w:rPr>
          <w:rFonts w:hint="eastAsia" w:cs="Arial"/>
          <w:kern w:val="0"/>
          <w:sz w:val="28"/>
          <w:szCs w:val="32"/>
          <w:lang w:val="en-US" w:eastAsia="zh-CN"/>
        </w:rPr>
        <w:t>D</w:t>
      </w:r>
      <w:r>
        <w:rPr>
          <w:rFonts w:cs="Arial"/>
          <w:kern w:val="0"/>
          <w:sz w:val="28"/>
          <w:szCs w:val="32"/>
          <w:lang w:val="en-US" w:eastAsia="zh-CN"/>
        </w:rPr>
        <w:t>iscussion</w:t>
      </w:r>
    </w:p>
    <w:p>
      <w:pPr>
        <w:pStyle w:val="3"/>
        <w:numPr>
          <w:ilvl w:val="1"/>
          <w:numId w:val="7"/>
        </w:numPr>
        <w:snapToGrid w:val="0"/>
        <w:spacing w:before="156" w:beforeLines="50" w:after="156" w:afterLines="50"/>
        <w:ind w:hanging="1145"/>
        <w:jc w:val="both"/>
        <w:rPr>
          <w:lang w:val="en-US" w:eastAsia="zh-CN"/>
        </w:rPr>
      </w:pPr>
      <w:r>
        <w:rPr>
          <w:lang w:val="en-US" w:eastAsia="zh-CN"/>
        </w:rPr>
        <w:t xml:space="preserve"> UE-assisted integrity</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Rel-17 positioning integrity for A-GNSS positioning, since GNSS signal is received and measured at UE side, only UE-based integrity is supported, i.e.</w:t>
      </w:r>
      <w:r>
        <w:rPr>
          <w:rFonts w:hint="eastAsia" w:ascii="Times New Roman" w:hAnsi="Times New Roman"/>
          <w:kern w:val="0"/>
          <w:sz w:val="20"/>
          <w:szCs w:val="20"/>
          <w:lang w:val="en-US" w:eastAsia="zh-CN"/>
        </w:rPr>
        <w:t>,</w:t>
      </w:r>
      <w:r>
        <w:rPr>
          <w:rFonts w:ascii="Times New Roman" w:hAnsi="Times New Roman"/>
          <w:kern w:val="0"/>
          <w:sz w:val="20"/>
          <w:szCs w:val="20"/>
          <w:lang w:val="en-US" w:eastAsia="zh-CN"/>
        </w:rPr>
        <w:t xml:space="preserve"> UE calculates PL according to KPIs and error bounds </w:t>
      </w:r>
      <w:r>
        <w:rPr>
          <w:rFonts w:hint="eastAsia" w:ascii="Times New Roman" w:hAnsi="Times New Roman"/>
          <w:kern w:val="0"/>
          <w:sz w:val="20"/>
          <w:szCs w:val="20"/>
          <w:lang w:val="en-US" w:eastAsia="zh-CN"/>
        </w:rPr>
        <w:t xml:space="preserve">indicated </w:t>
      </w:r>
      <w:r>
        <w:rPr>
          <w:rFonts w:ascii="Times New Roman" w:hAnsi="Times New Roman"/>
          <w:kern w:val="0"/>
          <w:sz w:val="20"/>
          <w:szCs w:val="20"/>
          <w:lang w:val="en-US" w:eastAsia="zh-CN"/>
        </w:rPr>
        <w:t>in the assistance data, and report</w:t>
      </w:r>
      <w:r>
        <w:rPr>
          <w:rFonts w:hint="eastAsia" w:ascii="Times New Roman" w:hAnsi="Times New Roman"/>
          <w:kern w:val="0"/>
          <w:sz w:val="20"/>
          <w:szCs w:val="20"/>
          <w:lang w:val="en-US" w:eastAsia="zh-CN"/>
        </w:rPr>
        <w:t>s</w:t>
      </w:r>
      <w:r>
        <w:rPr>
          <w:rFonts w:ascii="Times New Roman" w:hAnsi="Times New Roman"/>
          <w:kern w:val="0"/>
          <w:sz w:val="20"/>
          <w:szCs w:val="20"/>
          <w:lang w:val="en-US" w:eastAsia="zh-CN"/>
        </w:rPr>
        <w:t xml:space="preserve"> to LMF its integrity results. </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As the SID indicates, f</w:t>
      </w:r>
      <w:r>
        <w:rPr>
          <w:rFonts w:ascii="Times New Roman" w:hAnsi="Times New Roman"/>
          <w:kern w:val="0"/>
          <w:sz w:val="20"/>
          <w:szCs w:val="20"/>
          <w:lang w:val="en-US" w:eastAsia="zh-CN"/>
        </w:rPr>
        <w:t>or RAT-dependent positioning methods including DL-TDOA, UL-TDOA, DL-AoD, UL-AoA and multi-RTT, not only UE-based but also UE-assisted solution should be considered. To be specific, if measurement result is gathered and calculated at LMF side, it is reasonable for LMF to calculate integrity result. Therefore, we think in Rel-18, it is possible to support LMF-based integrity for UE-assisted integrity.</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1: In Rel-18, support LMF-based integrity.</w:t>
      </w:r>
    </w:p>
    <w:p>
      <w:pPr>
        <w:pStyle w:val="3"/>
        <w:numPr>
          <w:ilvl w:val="1"/>
          <w:numId w:val="7"/>
        </w:numPr>
        <w:snapToGrid w:val="0"/>
        <w:spacing w:before="156" w:beforeLines="50" w:after="156" w:afterLines="50"/>
        <w:ind w:hanging="1145"/>
        <w:jc w:val="both"/>
        <w:rPr>
          <w:lang w:val="en-US" w:eastAsia="zh-CN"/>
        </w:rPr>
      </w:pPr>
      <w:r>
        <w:rPr>
          <w:lang w:val="en-US" w:eastAsia="zh-CN"/>
        </w:rPr>
        <w:t xml:space="preserve"> Integrity p</w:t>
      </w:r>
      <w:r>
        <w:rPr>
          <w:rFonts w:hint="eastAsia"/>
          <w:lang w:val="en-US" w:eastAsia="zh-CN"/>
        </w:rPr>
        <w:t xml:space="preserve">rocedures </w:t>
      </w:r>
      <w:r>
        <w:rPr>
          <w:lang w:val="en-US" w:eastAsia="zh-CN"/>
        </w:rPr>
        <w:t>for DL, UL and DL+UL positioning methods</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In Rel-17, the main spec impact of A-GNSS integrity is error bound (mean and variance) of error sources and DNU flags, they determine how the integrity entity calculates the integrity calculation. Since the SID indicates to focus on reuse of concepts and principles being developed for RAT-Independent GNSS positioning integrity, </w:t>
      </w:r>
      <w:r>
        <w:rPr>
          <w:rFonts w:hint="eastAsia" w:ascii="Times New Roman" w:hAnsi="Times New Roman"/>
          <w:kern w:val="0"/>
          <w:sz w:val="20"/>
          <w:szCs w:val="20"/>
          <w:lang w:val="en-US" w:eastAsia="zh-CN"/>
        </w:rPr>
        <w:t>we think it is necessary</w:t>
      </w:r>
      <w:r>
        <w:rPr>
          <w:rFonts w:ascii="Times New Roman" w:hAnsi="Times New Roman"/>
          <w:kern w:val="0"/>
          <w:sz w:val="20"/>
          <w:szCs w:val="20"/>
          <w:lang w:val="en-US" w:eastAsia="zh-CN"/>
        </w:rPr>
        <w:t xml:space="preserve"> to introduce error bound and DNU flag in RAT-dependent positioning. As for different RAT-dependent positioning methods, the error bound and DNUs can be told to integrity entity in different signalings. </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2: In Rel-18, support to reuse the error bound and DNU flag in RAT-dependent positioning.</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kern w:val="0"/>
          <w:sz w:val="20"/>
          <w:szCs w:val="20"/>
          <w:lang w:val="en-US" w:eastAsia="zh-CN"/>
        </w:rPr>
        <w:t>The following sub-sessions specify the integrity signaling (especially error bounds and DNU flags) of different positioning methods.</w:t>
      </w:r>
    </w:p>
    <w:p>
      <w:pPr>
        <w:pStyle w:val="4"/>
        <w:numPr>
          <w:ilvl w:val="2"/>
          <w:numId w:val="7"/>
        </w:numPr>
        <w:snapToGrid w:val="0"/>
        <w:spacing w:before="156" w:beforeLines="50" w:after="156" w:afterLines="50" w:line="240" w:lineRule="auto"/>
        <w:ind w:hanging="1570"/>
        <w:rPr>
          <w:lang w:val="en-US" w:eastAsia="zh-CN"/>
        </w:rPr>
      </w:pPr>
      <w:r>
        <w:rPr>
          <w:lang w:val="en-US" w:eastAsia="zh-CN"/>
        </w:rPr>
        <w:t>DL/DL+UL positioning</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F</w:t>
      </w:r>
      <w:r>
        <w:rPr>
          <w:rFonts w:hint="eastAsia" w:ascii="Times New Roman" w:hAnsi="Times New Roman"/>
          <w:kern w:val="0"/>
          <w:sz w:val="20"/>
          <w:szCs w:val="20"/>
          <w:lang w:val="en-US" w:eastAsia="zh-CN"/>
        </w:rPr>
        <w:t xml:space="preserve">or </w:t>
      </w:r>
      <w:r>
        <w:rPr>
          <w:rFonts w:ascii="Times New Roman" w:hAnsi="Times New Roman"/>
          <w:kern w:val="0"/>
          <w:sz w:val="20"/>
          <w:szCs w:val="20"/>
          <w:lang w:val="en-US" w:eastAsia="zh-CN"/>
        </w:rPr>
        <w:t xml:space="preserve">DL positioning (DL-TDOA and DL-AoD) and DL+UL positioning (multi-RTT), integrity may </w:t>
      </w:r>
      <w:r>
        <w:rPr>
          <w:rFonts w:hint="eastAsia" w:ascii="Times New Roman" w:hAnsi="Times New Roman"/>
          <w:kern w:val="0"/>
          <w:sz w:val="20"/>
          <w:szCs w:val="20"/>
          <w:lang w:val="en-US" w:eastAsia="zh-CN"/>
        </w:rPr>
        <w:t>have impact on the</w:t>
      </w:r>
      <w:r>
        <w:rPr>
          <w:rFonts w:ascii="Times New Roman" w:hAnsi="Times New Roman"/>
          <w:kern w:val="0"/>
          <w:sz w:val="20"/>
          <w:szCs w:val="20"/>
          <w:lang w:val="en-US" w:eastAsia="zh-CN"/>
        </w:rPr>
        <w:t xml:space="preserve"> DL assistance data configuration and UL UE measurement report for different error sources. For A-GNSS positioning, the error bounds of different error source is told to UE in assistance data per GNSS constellation per satellite. Take GNSS-SSR-ClockCorrections for example:</w:t>
      </w:r>
    </w:p>
    <w:p>
      <w:pPr>
        <w:adjustRightInd w:val="0"/>
        <w:snapToGrid w:val="0"/>
        <w:spacing w:before="156" w:beforeLines="50" w:after="156" w:afterLines="50" w:line="240" w:lineRule="auto"/>
        <w:rPr>
          <w:rFonts w:ascii="Times New Roman" w:hAnsi="Times New Roman" w:eastAsia="宋体"/>
          <w:kern w:val="0"/>
          <w:sz w:val="24"/>
          <w:szCs w:val="24"/>
          <w:lang w:val="en-US" w:eastAsia="zh-CN"/>
        </w:rPr>
      </w:pPr>
      <w:r>
        <w:rPr>
          <w:i/>
        </w:rPr>
        <w:t>GNSS-SSR-ClockCorrections</w:t>
      </w:r>
    </w:p>
    <w:p>
      <w:pPr>
        <w:pStyle w:val="245"/>
        <w:shd w:val="clear" w:color="auto" w:fill="E6E6E6"/>
        <w:tabs>
          <w:tab w:val="left" w:pos="142"/>
          <w:tab w:val="clear" w:pos="768"/>
        </w:tabs>
        <w:snapToGrid w:val="0"/>
        <w:spacing w:before="156" w:beforeLines="50" w:after="156" w:afterLines="50" w:line="240" w:lineRule="auto"/>
        <w:ind w:left="820" w:hanging="820"/>
        <w:jc w:val="both"/>
        <w:rPr>
          <w:rFonts w:eastAsia="Times New Roman"/>
          <w:kern w:val="0"/>
          <w:szCs w:val="16"/>
          <w:lang w:eastAsia="zh-CN"/>
        </w:rPr>
      </w:pPr>
      <w:r>
        <w:t>-- ASN1START</w:t>
      </w:r>
    </w:p>
    <w:p>
      <w:pPr>
        <w:pStyle w:val="245"/>
        <w:shd w:val="clear" w:color="auto" w:fill="E6E6E6"/>
        <w:tabs>
          <w:tab w:val="left" w:pos="142"/>
          <w:tab w:val="clear" w:pos="768"/>
        </w:tabs>
        <w:snapToGrid w:val="0"/>
        <w:spacing w:before="156" w:beforeLines="50" w:after="156" w:afterLines="50" w:line="240" w:lineRule="auto"/>
        <w:ind w:left="820" w:hanging="820"/>
        <w:jc w:val="both"/>
      </w:pPr>
      <w:r>
        <w:t xml:space="preserve"> </w:t>
      </w:r>
    </w:p>
    <w:p>
      <w:pPr>
        <w:pStyle w:val="245"/>
        <w:shd w:val="clear" w:color="auto" w:fill="E6E6E6"/>
        <w:tabs>
          <w:tab w:val="left" w:pos="142"/>
          <w:tab w:val="clear" w:pos="768"/>
        </w:tabs>
        <w:snapToGrid w:val="0"/>
        <w:spacing w:before="156" w:beforeLines="50" w:after="156" w:afterLines="50" w:line="240" w:lineRule="auto"/>
        <w:ind w:left="820" w:hanging="820"/>
        <w:jc w:val="both"/>
      </w:pPr>
      <w:r>
        <w:t>GNSS-SSR-ClockCorrections-r15 ::= SEQUENCE {</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epochTime-r15</w:t>
      </w:r>
      <w:r>
        <w:tab/>
      </w:r>
      <w:r>
        <w:tab/>
      </w:r>
      <w:r>
        <w:tab/>
      </w:r>
      <w:r>
        <w:tab/>
      </w:r>
      <w:r>
        <w:tab/>
      </w:r>
      <w:r>
        <w:tab/>
      </w:r>
      <w:r>
        <w:t>GNSS-SystemTime,</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ssrUpdateInterval-r15</w:t>
      </w:r>
      <w:r>
        <w:tab/>
      </w:r>
      <w:r>
        <w:tab/>
      </w:r>
      <w:r>
        <w:tab/>
      </w:r>
      <w:r>
        <w:tab/>
      </w:r>
      <w:r>
        <w:t>INTEGER (0..15),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iod-ssr-r15</w:t>
      </w:r>
      <w:r>
        <w:tab/>
      </w:r>
      <w:r>
        <w:tab/>
      </w:r>
      <w:r>
        <w:tab/>
      </w:r>
      <w:r>
        <w:tab/>
      </w:r>
      <w:r>
        <w:tab/>
      </w:r>
      <w:r>
        <w:tab/>
      </w:r>
      <w:r>
        <w:tab/>
      </w:r>
      <w:r>
        <w:t>INTEGER (0..15),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ssr-ClockCorrectionList-r15</w:t>
      </w:r>
      <w:r>
        <w:tab/>
      </w:r>
      <w:r>
        <w:tab/>
      </w:r>
      <w:r>
        <w:tab/>
      </w:r>
      <w:r>
        <w:t>SSR-ClockCorrectionList-r15,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ab/>
      </w:r>
      <w:r>
        <w:t>clock-IntegrityParameters-r17</w:t>
      </w:r>
      <w:r>
        <w:tab/>
      </w:r>
      <w:r>
        <w:t>CLOCK-IntegrityParameters-r17</w:t>
      </w:r>
      <w:r>
        <w:tab/>
      </w:r>
      <w:r>
        <w:tab/>
      </w:r>
      <w:r>
        <w:t>OPTIONAL   -- Need OR</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rPr>
          <w:highlight w:val="yellow"/>
        </w:rPr>
        <w:t>SSR-ClockCorrectionList-r15 ::= SEQUENCE (SIZE(1..64)) OF SSR-ClockCorrectionSatelliteElement-r15</w:t>
      </w:r>
    </w:p>
    <w:p>
      <w:pPr>
        <w:pStyle w:val="245"/>
        <w:shd w:val="clear" w:color="auto" w:fill="E6E6E6"/>
        <w:tabs>
          <w:tab w:val="left" w:pos="142"/>
          <w:tab w:val="clear" w:pos="768"/>
        </w:tabs>
        <w:snapToGrid w:val="0"/>
        <w:spacing w:before="156" w:beforeLines="50" w:after="156" w:afterLines="50" w:line="240" w:lineRule="auto"/>
        <w:ind w:left="820" w:hanging="820"/>
        <w:jc w:val="both"/>
      </w:pPr>
      <w:r>
        <w:t>SSR-ClockCorrectionSatelliteElement-r15 ::= SEQUENCE {</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svID-r15</w:t>
      </w:r>
      <w:r>
        <w:tab/>
      </w:r>
      <w:r>
        <w:tab/>
      </w:r>
      <w:r>
        <w:tab/>
      </w:r>
      <w:r>
        <w:tab/>
      </w:r>
      <w:r>
        <w:tab/>
      </w:r>
      <w:r>
        <w:tab/>
      </w:r>
      <w:r>
        <w:tab/>
      </w:r>
      <w:r>
        <w:t>SV-ID,</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delta-Clock-C0-r15</w:t>
      </w:r>
      <w:r>
        <w:tab/>
      </w:r>
      <w:r>
        <w:tab/>
      </w:r>
      <w:r>
        <w:tab/>
      </w:r>
      <w:r>
        <w:tab/>
      </w:r>
      <w:r>
        <w:tab/>
      </w:r>
      <w:r>
        <w:t>INTEGER (-2097152..2097151),</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delta-Clock-C1-r15</w:t>
      </w:r>
      <w:r>
        <w:tab/>
      </w:r>
      <w:r>
        <w:tab/>
      </w:r>
      <w:r>
        <w:tab/>
      </w:r>
      <w:r>
        <w:tab/>
      </w:r>
      <w:r>
        <w:tab/>
      </w:r>
      <w:r>
        <w:t>INTEGER (-1048576..1048575)</w:t>
      </w:r>
      <w:r>
        <w:tab/>
      </w:r>
      <w:r>
        <w:tab/>
      </w:r>
      <w:r>
        <w:tab/>
      </w:r>
      <w:r>
        <w:t>OPTIONAL, -- Need ON</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delta-Clock-C2-r15</w:t>
      </w:r>
      <w:r>
        <w:tab/>
      </w:r>
      <w:r>
        <w:tab/>
      </w:r>
      <w:r>
        <w:tab/>
      </w:r>
      <w:r>
        <w:tab/>
      </w:r>
      <w:r>
        <w:tab/>
      </w:r>
      <w:r>
        <w:t>INTEGER (-67108864..67108863)</w:t>
      </w:r>
      <w:r>
        <w:tab/>
      </w:r>
      <w:r>
        <w:tab/>
      </w:r>
      <w:r>
        <w:t>OPTIONAL, -- Need ON</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ab/>
      </w:r>
      <w:r>
        <w:t>ssr-IntegrityClockBounds-r17</w:t>
      </w:r>
      <w:r>
        <w:tab/>
      </w:r>
      <w:r>
        <w:t>SSR-IntegrityClockBounds-r17</w:t>
      </w:r>
      <w:r>
        <w:tab/>
      </w:r>
      <w:r>
        <w:tab/>
      </w:r>
      <w:r>
        <w:t>OPTIONAL  -- Need OR</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CLOCK-IntegrityParameters-r17 ::= SEQUENCE {</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clockRangeErrorCorrelationTime-r17</w:t>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clockRangeRateErrorCorrelationTime-r17</w:t>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SSR-IntegrityClockBounds-r17 ::= SEQUENCE {</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meanClock-r17</w:t>
      </w:r>
      <w:r>
        <w:tab/>
      </w:r>
      <w:r>
        <w:tab/>
      </w:r>
      <w:r>
        <w:tab/>
      </w:r>
      <w:r>
        <w:tab/>
      </w:r>
      <w:r>
        <w:tab/>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stdDevClock-r17</w:t>
      </w:r>
      <w:r>
        <w:tab/>
      </w:r>
      <w:r>
        <w:tab/>
      </w:r>
      <w:r>
        <w:tab/>
      </w:r>
      <w:r>
        <w:tab/>
      </w:r>
      <w:r>
        <w:tab/>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meanClockRate-r17</w:t>
      </w:r>
      <w:r>
        <w:tab/>
      </w:r>
      <w:r>
        <w:tab/>
      </w:r>
      <w:r>
        <w:tab/>
      </w:r>
      <w:r>
        <w:tab/>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stdDevClockRate-r17</w:t>
      </w:r>
      <w:r>
        <w:tab/>
      </w:r>
      <w:r>
        <w:tab/>
      </w:r>
      <w:r>
        <w:tab/>
      </w:r>
      <w:r>
        <w:tab/>
      </w:r>
      <w:r>
        <w:tab/>
      </w:r>
      <w:r>
        <w:tab/>
      </w:r>
      <w:r>
        <w:t>INTEGER (0..255),</w:t>
      </w:r>
    </w:p>
    <w:p>
      <w:pPr>
        <w:pStyle w:val="245"/>
        <w:shd w:val="clear" w:color="auto" w:fill="E6E6E6"/>
        <w:tabs>
          <w:tab w:val="left" w:pos="142"/>
          <w:tab w:val="clear" w:pos="768"/>
        </w:tabs>
        <w:snapToGrid w:val="0"/>
        <w:spacing w:before="156" w:beforeLines="50" w:after="156" w:afterLines="50" w:line="240" w:lineRule="auto"/>
        <w:ind w:left="820" w:hanging="820"/>
        <w:jc w:val="both"/>
      </w:pPr>
      <w:r>
        <w:tab/>
      </w: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w:t>
      </w:r>
    </w:p>
    <w:p>
      <w:pPr>
        <w:pStyle w:val="245"/>
        <w:shd w:val="clear" w:color="auto" w:fill="E6E6E6"/>
        <w:tabs>
          <w:tab w:val="left" w:pos="142"/>
          <w:tab w:val="clear" w:pos="768"/>
        </w:tabs>
        <w:snapToGrid w:val="0"/>
        <w:spacing w:before="156" w:beforeLines="50" w:after="156" w:afterLines="50" w:line="240" w:lineRule="auto"/>
        <w:ind w:left="820" w:hanging="820"/>
        <w:jc w:val="both"/>
      </w:pPr>
      <w:r>
        <w:t>-- ASN1STOP</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A GNSS-ID is associated with each GNSS-SSR-ClockCorrections, in which SSR-ClockCorrectionList-r15 further contains up to 64 satellites’ assistance data with the same GNSS-ID. The error bound</w:t>
      </w:r>
      <w:r>
        <w:t xml:space="preserve"> </w:t>
      </w:r>
      <w:r>
        <w:rPr>
          <w:rFonts w:ascii="Times New Roman" w:hAnsi="Times New Roman"/>
          <w:kern w:val="0"/>
          <w:sz w:val="20"/>
          <w:szCs w:val="20"/>
          <w:lang w:val="en-US" w:eastAsia="zh-CN"/>
        </w:rPr>
        <w:t xml:space="preserve">SSR-IntegrityClockBounds-r17 is associated with each satellite. </w:t>
      </w:r>
      <w:r>
        <w:rPr>
          <w:rFonts w:hint="eastAsia" w:ascii="Times New Roman" w:hAnsi="Times New Roman"/>
          <w:kern w:val="0"/>
          <w:sz w:val="20"/>
          <w:szCs w:val="20"/>
          <w:lang w:val="en-US" w:eastAsia="zh-CN"/>
        </w:rPr>
        <w:t>Since the e</w:t>
      </w:r>
      <w:r>
        <w:rPr>
          <w:rFonts w:ascii="Times New Roman" w:hAnsi="Times New Roman"/>
          <w:kern w:val="0"/>
          <w:sz w:val="20"/>
          <w:szCs w:val="20"/>
          <w:lang w:val="en-US" w:eastAsia="zh-CN"/>
        </w:rPr>
        <w:t xml:space="preserve">rror bounds </w:t>
      </w:r>
      <w:r>
        <w:rPr>
          <w:rFonts w:hint="eastAsia" w:ascii="Times New Roman" w:hAnsi="Times New Roman"/>
          <w:kern w:val="0"/>
          <w:sz w:val="20"/>
          <w:szCs w:val="20"/>
          <w:lang w:val="en-US" w:eastAsia="zh-CN"/>
        </w:rPr>
        <w:t xml:space="preserve">of assistance data-related error sources </w:t>
      </w:r>
      <w:r>
        <w:rPr>
          <w:rFonts w:ascii="Times New Roman" w:hAnsi="Times New Roman"/>
          <w:kern w:val="0"/>
          <w:sz w:val="20"/>
          <w:szCs w:val="20"/>
          <w:lang w:val="en-US" w:eastAsia="zh-CN"/>
        </w:rPr>
        <w:t>and DNU flags should be configured in the assistance dat</w:t>
      </w:r>
      <w:r>
        <w:rPr>
          <w:rFonts w:hint="eastAsia" w:ascii="Times New Roman" w:hAnsi="Times New Roman"/>
          <w:kern w:val="0"/>
          <w:sz w:val="20"/>
          <w:szCs w:val="20"/>
          <w:lang w:val="en-US" w:eastAsia="zh-CN"/>
        </w:rPr>
        <w:t xml:space="preserve">a, </w:t>
      </w:r>
      <w:r>
        <w:rPr>
          <w:rFonts w:ascii="Times New Roman" w:hAnsi="Times New Roman"/>
          <w:kern w:val="0"/>
          <w:sz w:val="20"/>
          <w:szCs w:val="20"/>
          <w:lang w:val="en-US" w:eastAsia="zh-CN"/>
        </w:rPr>
        <w:t xml:space="preserve">he same structure can be applied in RAT-dependent positioning methods, that error bounds of assistance data error can be configured per frequency layer, per TRP, per PRS resource set or per PRS resource. For example, TRP synchronization error should be configured per TRP. Others depends on RAN1’s decision of specific error sources. </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For DL/DL+UL positioning, not all TRPs in the assistance data are useful for location calculation, as the relative position between target UE and TRPs may be large and PRS reception quality is rather poor. Therefore if TRP related error source/bound is told to UE, the DNU flags indicating which TRP’s measurement should /should not be used for integrity shall also be told to UE. The DNU flags can be configured per frequency layer, per TRP, per PRS resource set or per PRS resource, depending on the specified error source.</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hint="eastAsia" w:ascii="Times New Roman" w:hAnsi="Times New Roman"/>
          <w:b/>
          <w:i/>
          <w:kern w:val="0"/>
          <w:sz w:val="20"/>
          <w:szCs w:val="20"/>
          <w:lang w:val="en-US" w:eastAsia="zh-CN"/>
        </w:rPr>
        <w:t xml:space="preserve">Proposal 3: </w:t>
      </w:r>
      <w:r>
        <w:rPr>
          <w:rFonts w:ascii="Times New Roman" w:hAnsi="Times New Roman"/>
          <w:b/>
          <w:i/>
          <w:kern w:val="0"/>
          <w:sz w:val="20"/>
          <w:szCs w:val="20"/>
          <w:lang w:val="en-US" w:eastAsia="zh-CN"/>
        </w:rPr>
        <w:t>For RAT-dependent DL/DL+UL positioning methods, error bounds of assistance data error and DNU flags can be configured in the assistance data. FFS on per frequency layer, per TRP, per PRS resource set or per PRS resource</w:t>
      </w:r>
      <w:r>
        <w:rPr>
          <w:rFonts w:hint="eastAsia" w:ascii="Times New Roman" w:hAnsi="Times New Roman"/>
          <w:b/>
          <w:i/>
          <w:kern w:val="0"/>
          <w:sz w:val="20"/>
          <w:szCs w:val="20"/>
          <w:lang w:val="en-US" w:eastAsia="zh-CN"/>
        </w:rPr>
        <w:t xml:space="preserve"> configuration</w:t>
      </w:r>
      <w:r>
        <w:rPr>
          <w:rFonts w:ascii="Times New Roman" w:hAnsi="Times New Roman"/>
          <w:b/>
          <w:i/>
          <w:kern w:val="0"/>
          <w:sz w:val="20"/>
          <w:szCs w:val="20"/>
          <w:lang w:val="en-US" w:eastAsia="zh-CN"/>
        </w:rPr>
        <w:t>.</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In the RAN1#109e [2], the following agreement is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highlight w:val="green"/>
                <w:lang w:val="en-US" w:eastAsia="zh-CN"/>
              </w:rPr>
              <w:t>Agreement</w:t>
            </w:r>
          </w:p>
          <w:p>
            <w:pPr>
              <w:pStyle w:val="288"/>
              <w:numPr>
                <w:ilvl w:val="0"/>
                <w:numId w:val="8"/>
              </w:numPr>
              <w:adjustRightInd w:val="0"/>
              <w:snapToGrid w:val="0"/>
              <w:spacing w:before="156" w:beforeLines="50" w:beforeAutospacing="0" w:after="156" w:afterLines="50" w:afterAutospacing="0"/>
              <w:ind w:left="400" w:leftChars="0" w:hanging="400"/>
              <w:jc w:val="both"/>
              <w:rPr>
                <w:rFonts w:ascii="Times New Roman" w:hAnsi="Times New Roman" w:cs="Times New Roman" w:eastAsiaTheme="minorEastAsia"/>
                <w:sz w:val="20"/>
                <w:szCs w:val="20"/>
              </w:rPr>
            </w:pPr>
            <w:r>
              <w:rPr>
                <w:rFonts w:ascii="Times New Roman" w:hAnsi="Times New Roman" w:cs="Times New Roman" w:eastAsiaTheme="minorEastAsia"/>
                <w:sz w:val="20"/>
                <w:szCs w:val="20"/>
              </w:rPr>
              <w:t>At least the following error sources for timing-based positioning methods are studied</w:t>
            </w:r>
          </w:p>
          <w:p>
            <w:pPr>
              <w:pStyle w:val="288"/>
              <w:numPr>
                <w:ilvl w:val="1"/>
                <w:numId w:val="9"/>
              </w:numPr>
              <w:adjustRightInd w:val="0"/>
              <w:snapToGrid w:val="0"/>
              <w:spacing w:before="156" w:beforeLines="50" w:beforeAutospacing="0" w:after="156" w:afterLines="50" w:afterAutospacing="0"/>
              <w:ind w:left="400" w:leftChars="0" w:hanging="400"/>
              <w:jc w:val="both"/>
              <w:rPr>
                <w:rFonts w:ascii="Times New Roman" w:hAnsi="Times New Roman" w:cs="Times New Roman" w:eastAsiaTheme="minorEastAsia"/>
                <w:sz w:val="20"/>
                <w:szCs w:val="20"/>
              </w:rPr>
            </w:pPr>
            <w:r>
              <w:rPr>
                <w:rFonts w:ascii="Times New Roman" w:hAnsi="Times New Roman" w:cs="Times New Roman" w:eastAsiaTheme="minorEastAsia"/>
                <w:sz w:val="20"/>
                <w:szCs w:val="20"/>
              </w:rPr>
              <w:t>TRP/UE measurements errors (e.g., ToA, Rx-Tx timing difference)</w:t>
            </w:r>
          </w:p>
          <w:p>
            <w:pPr>
              <w:pStyle w:val="288"/>
              <w:numPr>
                <w:ilvl w:val="2"/>
                <w:numId w:val="9"/>
              </w:numPr>
              <w:adjustRightInd w:val="0"/>
              <w:snapToGrid w:val="0"/>
              <w:spacing w:before="156" w:beforeLines="50" w:beforeAutospacing="0" w:after="156" w:afterLines="50" w:afterAutospacing="0"/>
              <w:ind w:left="400" w:leftChars="0" w:hanging="400"/>
              <w:jc w:val="both"/>
              <w:rPr>
                <w:rFonts w:ascii="Times New Roman" w:hAnsi="Times New Roman" w:cs="Times New Roman" w:eastAsiaTheme="minorEastAsia"/>
                <w:sz w:val="20"/>
                <w:szCs w:val="20"/>
              </w:rPr>
            </w:pPr>
            <w:r>
              <w:rPr>
                <w:rFonts w:ascii="Times New Roman" w:hAnsi="Times New Roman" w:cs="Times New Roman" w:eastAsiaTheme="minorEastAsia"/>
                <w:sz w:val="20"/>
                <w:szCs w:val="20"/>
              </w:rPr>
              <w:t>FFS: Effect of multipath/NLoS channels on TRP/UE measurement errors</w:t>
            </w:r>
          </w:p>
          <w:p>
            <w:pPr>
              <w:pStyle w:val="288"/>
              <w:numPr>
                <w:ilvl w:val="1"/>
                <w:numId w:val="9"/>
              </w:numPr>
              <w:adjustRightInd w:val="0"/>
              <w:snapToGrid w:val="0"/>
              <w:spacing w:before="156" w:beforeLines="50" w:beforeAutospacing="0" w:after="156" w:afterLines="50" w:afterAutospacing="0"/>
              <w:ind w:left="400" w:leftChars="0" w:hanging="400"/>
              <w:jc w:val="both"/>
              <w:rPr>
                <w:rFonts w:ascii="Times New Roman" w:hAnsi="Times New Roman" w:cs="Times New Roman" w:eastAsiaTheme="minorEastAsia"/>
                <w:sz w:val="20"/>
                <w:szCs w:val="20"/>
              </w:rPr>
            </w:pPr>
            <w:r>
              <w:rPr>
                <w:rFonts w:ascii="Times New Roman" w:hAnsi="Times New Roman" w:cs="Times New Roman" w:eastAsiaTheme="minorEastAsia"/>
                <w:sz w:val="20"/>
                <w:szCs w:val="20"/>
              </w:rPr>
              <w:t>Error in assistance data (e.g., TRP location, Inter-TRP synchronization errors (e.g., RTD))</w:t>
            </w:r>
          </w:p>
          <w:p>
            <w:pPr>
              <w:pStyle w:val="288"/>
              <w:numPr>
                <w:ilvl w:val="1"/>
                <w:numId w:val="9"/>
              </w:numPr>
              <w:adjustRightInd w:val="0"/>
              <w:snapToGrid w:val="0"/>
              <w:spacing w:before="156" w:beforeLines="50" w:beforeAutospacing="0" w:after="156" w:afterLines="50" w:afterAutospacing="0"/>
              <w:ind w:left="400" w:leftChars="0" w:hanging="400"/>
              <w:jc w:val="both"/>
              <w:rPr>
                <w:rFonts w:ascii="Times New Roman" w:hAnsi="Times New Roman" w:cs="Times New Roman" w:eastAsiaTheme="minorEastAsia"/>
                <w:sz w:val="20"/>
                <w:szCs w:val="20"/>
              </w:rPr>
            </w:pPr>
            <w:r>
              <w:rPr>
                <w:rFonts w:ascii="Times New Roman" w:hAnsi="Times New Roman" w:cs="Times New Roman" w:eastAsiaTheme="minorEastAsia"/>
                <w:sz w:val="20"/>
                <w:szCs w:val="20"/>
              </w:rPr>
              <w:t>TRP/UE Timing error</w:t>
            </w:r>
          </w:p>
          <w:p>
            <w:pPr>
              <w:pStyle w:val="288"/>
              <w:numPr>
                <w:ilvl w:val="1"/>
                <w:numId w:val="9"/>
              </w:numPr>
              <w:adjustRightInd w:val="0"/>
              <w:snapToGrid w:val="0"/>
              <w:spacing w:before="156" w:beforeLines="50" w:beforeAutospacing="0" w:after="156" w:afterLines="50" w:afterAutospacing="0"/>
              <w:ind w:left="400" w:leftChars="0" w:hanging="400"/>
              <w:jc w:val="both"/>
              <w:rPr>
                <w:rFonts w:ascii="Times New Roman" w:hAnsi="Times New Roman" w:cs="Times New Roman" w:eastAsiaTheme="minorEastAsia"/>
                <w:sz w:val="20"/>
                <w:szCs w:val="20"/>
              </w:rPr>
            </w:pPr>
            <w:r>
              <w:rPr>
                <w:rFonts w:ascii="Times New Roman" w:hAnsi="Times New Roman" w:cs="Times New Roman" w:eastAsiaTheme="minorEastAsia"/>
                <w:sz w:val="20"/>
                <w:szCs w:val="20"/>
              </w:rPr>
              <w:t>FFS: Further study identification of error sources resulting from the multipath/NLoS channel/radio propagation environment, including multipath/NLoS channel itself as an error source</w:t>
            </w:r>
          </w:p>
          <w:p>
            <w:pPr>
              <w:pStyle w:val="288"/>
              <w:numPr>
                <w:ilvl w:val="0"/>
                <w:numId w:val="9"/>
              </w:numPr>
              <w:adjustRightInd w:val="0"/>
              <w:snapToGrid w:val="0"/>
              <w:spacing w:before="156" w:beforeLines="50" w:beforeAutospacing="0" w:after="156" w:afterLines="50" w:afterAutospacing="0"/>
              <w:ind w:left="400" w:leftChars="0" w:hanging="400"/>
              <w:jc w:val="both"/>
              <w:rPr>
                <w:rFonts w:ascii="Times New Roman" w:hAnsi="Times New Roman" w:cs="Times New Roman" w:eastAsiaTheme="minorEastAsia"/>
                <w:sz w:val="20"/>
                <w:szCs w:val="20"/>
              </w:rPr>
            </w:pPr>
            <w:r>
              <w:rPr>
                <w:rFonts w:ascii="Times New Roman" w:hAnsi="Times New Roman" w:cs="Times New Roman" w:eastAsiaTheme="minorEastAsia"/>
                <w:sz w:val="20"/>
                <w:szCs w:val="20"/>
              </w:rPr>
              <w:t>Other error sources are not precluded</w:t>
            </w:r>
          </w:p>
          <w:p>
            <w:pPr>
              <w:pStyle w:val="289"/>
              <w:numPr>
                <w:ilvl w:val="0"/>
                <w:numId w:val="9"/>
              </w:numPr>
              <w:spacing w:before="156" w:beforeLines="50" w:beforeAutospacing="0" w:after="156" w:afterLines="50"/>
              <w:ind w:left="820" w:hanging="400"/>
              <w:rPr>
                <w:rFonts w:eastAsiaTheme="minorEastAsia"/>
                <w:sz w:val="20"/>
                <w:szCs w:val="20"/>
              </w:rPr>
            </w:pPr>
            <w:r>
              <w:rPr>
                <w:rFonts w:eastAsiaTheme="minorEastAsia"/>
                <w:sz w:val="20"/>
                <w:szCs w:val="20"/>
              </w:rPr>
              <w:t>FFS: details of each error source, e.g., mean/standard deviation/range associated with each error</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highlight w:val="green"/>
                <w:lang w:val="en-US" w:eastAsia="zh-CN"/>
              </w:rPr>
              <w:t>Agreement</w:t>
            </w:r>
          </w:p>
          <w:p>
            <w:pPr>
              <w:pStyle w:val="288"/>
              <w:numPr>
                <w:ilvl w:val="0"/>
                <w:numId w:val="8"/>
              </w:numPr>
              <w:adjustRightInd w:val="0"/>
              <w:snapToGrid w:val="0"/>
              <w:spacing w:before="156" w:beforeLines="50" w:beforeAutospacing="0" w:after="156" w:afterLines="50" w:afterAutospacing="0"/>
              <w:ind w:left="400" w:leftChars="0" w:hanging="400"/>
              <w:jc w:val="both"/>
              <w:rPr>
                <w:rFonts w:ascii="Times New Roman" w:hAnsi="Times New Roman" w:cs="Times New Roman" w:eastAsiaTheme="minorEastAsia"/>
                <w:sz w:val="20"/>
                <w:szCs w:val="20"/>
              </w:rPr>
            </w:pPr>
            <w:r>
              <w:rPr>
                <w:rFonts w:ascii="Times New Roman" w:hAnsi="Times New Roman" w:cs="Times New Roman" w:eastAsiaTheme="minorEastAsia"/>
                <w:sz w:val="20"/>
                <w:szCs w:val="20"/>
              </w:rPr>
              <w:t>At least the following error sources for angle -based positioning methods are studied</w:t>
            </w:r>
          </w:p>
          <w:p>
            <w:pPr>
              <w:pStyle w:val="288"/>
              <w:numPr>
                <w:ilvl w:val="1"/>
                <w:numId w:val="9"/>
              </w:numPr>
              <w:adjustRightInd w:val="0"/>
              <w:snapToGrid w:val="0"/>
              <w:spacing w:before="156" w:beforeLines="50" w:beforeAutospacing="0" w:after="156" w:afterLines="50" w:afterAutospacing="0"/>
              <w:ind w:left="400" w:leftChars="0" w:hanging="400"/>
              <w:jc w:val="both"/>
              <w:rPr>
                <w:rFonts w:ascii="Times New Roman" w:hAnsi="Times New Roman" w:cs="Times New Roman" w:eastAsiaTheme="minorEastAsia"/>
                <w:sz w:val="20"/>
                <w:szCs w:val="20"/>
              </w:rPr>
            </w:pPr>
            <w:r>
              <w:rPr>
                <w:rFonts w:ascii="Times New Roman" w:hAnsi="Times New Roman" w:cs="Times New Roman" w:eastAsiaTheme="minorEastAsia"/>
                <w:sz w:val="20"/>
                <w:szCs w:val="20"/>
              </w:rPr>
              <w:t>TRP/UE measurements errors (e.g., AoA, RSRP, RSRPP)</w:t>
            </w:r>
          </w:p>
          <w:p>
            <w:pPr>
              <w:pStyle w:val="288"/>
              <w:numPr>
                <w:ilvl w:val="2"/>
                <w:numId w:val="9"/>
              </w:numPr>
              <w:adjustRightInd w:val="0"/>
              <w:snapToGrid w:val="0"/>
              <w:spacing w:before="156" w:beforeLines="50" w:beforeAutospacing="0" w:after="156" w:afterLines="50" w:afterAutospacing="0"/>
              <w:ind w:left="400" w:leftChars="0" w:hanging="400"/>
              <w:jc w:val="both"/>
              <w:rPr>
                <w:rFonts w:ascii="Times New Roman" w:hAnsi="Times New Roman" w:cs="Times New Roman" w:eastAsiaTheme="minorEastAsia"/>
                <w:sz w:val="20"/>
                <w:szCs w:val="20"/>
              </w:rPr>
            </w:pPr>
            <w:r>
              <w:rPr>
                <w:rFonts w:ascii="Times New Roman" w:hAnsi="Times New Roman" w:cs="Times New Roman" w:eastAsiaTheme="minorEastAsia"/>
                <w:sz w:val="20"/>
                <w:szCs w:val="20"/>
              </w:rPr>
              <w:t>FFS: Effect of multipath/NLoS channels on TRP/UE measurement errors</w:t>
            </w:r>
          </w:p>
          <w:p>
            <w:pPr>
              <w:pStyle w:val="288"/>
              <w:numPr>
                <w:ilvl w:val="1"/>
                <w:numId w:val="9"/>
              </w:numPr>
              <w:adjustRightInd w:val="0"/>
              <w:snapToGrid w:val="0"/>
              <w:spacing w:before="156" w:beforeLines="50" w:beforeAutospacing="0" w:after="156" w:afterLines="50" w:afterAutospacing="0"/>
              <w:ind w:left="400" w:leftChars="0" w:hanging="400"/>
              <w:rPr>
                <w:rFonts w:ascii="Times New Roman" w:hAnsi="Times New Roman" w:cs="Times New Roman" w:eastAsiaTheme="minorEastAsia"/>
                <w:sz w:val="20"/>
                <w:szCs w:val="20"/>
              </w:rPr>
            </w:pPr>
            <w:r>
              <w:rPr>
                <w:rFonts w:ascii="Times New Roman" w:hAnsi="Times New Roman" w:cs="Times New Roman" w:eastAsiaTheme="minorEastAsia"/>
                <w:sz w:val="20"/>
                <w:szCs w:val="20"/>
              </w:rPr>
              <w:t>Error in assistance data (e.g TRP location, TRP beam antenna information)</w:t>
            </w:r>
          </w:p>
          <w:p>
            <w:pPr>
              <w:pStyle w:val="288"/>
              <w:numPr>
                <w:ilvl w:val="1"/>
                <w:numId w:val="9"/>
              </w:numPr>
              <w:adjustRightInd w:val="0"/>
              <w:snapToGrid w:val="0"/>
              <w:spacing w:before="156" w:beforeLines="50" w:beforeAutospacing="0" w:after="156" w:afterLines="50" w:afterAutospacing="0"/>
              <w:ind w:left="400" w:leftChars="0" w:hanging="400"/>
              <w:rPr>
                <w:rFonts w:ascii="Times New Roman" w:hAnsi="Times New Roman" w:cs="Times New Roman" w:eastAsiaTheme="minorEastAsia"/>
                <w:sz w:val="20"/>
                <w:szCs w:val="20"/>
              </w:rPr>
            </w:pPr>
            <w:r>
              <w:rPr>
                <w:rFonts w:ascii="Times New Roman" w:hAnsi="Times New Roman" w:cs="Times New Roman" w:eastAsiaTheme="minorEastAsia"/>
                <w:sz w:val="20"/>
                <w:szCs w:val="20"/>
              </w:rPr>
              <w:t>FFS: Further study identification of error sources resulting from the multipath/NLoS channel/radio propagation environment, including multipath/NLoS channel itself as an error source</w:t>
            </w:r>
          </w:p>
          <w:p>
            <w:pPr>
              <w:pStyle w:val="288"/>
              <w:numPr>
                <w:ilvl w:val="0"/>
                <w:numId w:val="9"/>
              </w:numPr>
              <w:adjustRightInd w:val="0"/>
              <w:snapToGrid w:val="0"/>
              <w:spacing w:before="156" w:beforeLines="50" w:beforeAutospacing="0" w:after="156" w:afterLines="50" w:afterAutospacing="0"/>
              <w:ind w:left="400" w:leftChars="0" w:hanging="400"/>
              <w:jc w:val="both"/>
              <w:rPr>
                <w:rFonts w:ascii="Times New Roman" w:hAnsi="Times New Roman" w:cs="Times New Roman" w:eastAsiaTheme="minorEastAsia"/>
                <w:sz w:val="20"/>
                <w:szCs w:val="20"/>
              </w:rPr>
            </w:pPr>
            <w:r>
              <w:rPr>
                <w:rFonts w:ascii="Times New Roman" w:hAnsi="Times New Roman" w:cs="Times New Roman" w:eastAsiaTheme="minorEastAsia"/>
                <w:sz w:val="20"/>
                <w:szCs w:val="20"/>
              </w:rPr>
              <w:t>Other error sources are not precluded</w:t>
            </w:r>
          </w:p>
          <w:p>
            <w:pPr>
              <w:pStyle w:val="288"/>
              <w:numPr>
                <w:ilvl w:val="0"/>
                <w:numId w:val="9"/>
              </w:numPr>
              <w:adjustRightInd w:val="0"/>
              <w:snapToGrid w:val="0"/>
              <w:spacing w:before="156" w:beforeLines="50" w:beforeAutospacing="0" w:after="156" w:afterLines="50" w:afterAutospacing="0"/>
              <w:ind w:left="400" w:leftChars="0" w:hanging="400"/>
              <w:jc w:val="both"/>
            </w:pPr>
            <w:r>
              <w:rPr>
                <w:rFonts w:ascii="Times New Roman" w:hAnsi="Times New Roman" w:cs="Times New Roman" w:eastAsiaTheme="minorEastAsia"/>
                <w:sz w:val="20"/>
                <w:szCs w:val="20"/>
              </w:rPr>
              <w:t>FFS: details of each error source, e.g., mean/standard deviation/range associated with each error</w:t>
            </w:r>
          </w:p>
        </w:tc>
      </w:tr>
    </w:tbl>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There are some error sources under discussion in RAN1, including UE measurement errors for DL/DL+UL positioning methods. For LMF-based integrity, LMF needs to know the error bounds of UE-side error for calculating integrity results. Therefore, it is also necessary to include error bounds of UE measurement errors in the UE measurement report. As for DNU flags, UE can indicate to LMF that which measurement report should or should not be used in integrity results calculation.</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4: For RAT-dependent DL/DL+UL positioning methods, error bounds of UE measurement error and DNU flags can be reported in the UE measurement report.</w:t>
      </w:r>
    </w:p>
    <w:p>
      <w:pPr>
        <w:pStyle w:val="4"/>
        <w:numPr>
          <w:ilvl w:val="2"/>
          <w:numId w:val="7"/>
        </w:numPr>
        <w:snapToGrid w:val="0"/>
        <w:spacing w:before="156" w:beforeLines="50" w:after="156" w:afterLines="50" w:line="240" w:lineRule="auto"/>
        <w:ind w:hanging="1570"/>
        <w:rPr>
          <w:lang w:val="en-US" w:eastAsia="zh-CN"/>
        </w:rPr>
      </w:pPr>
      <w:r>
        <w:rPr>
          <w:lang w:val="en-US" w:eastAsia="zh-CN"/>
        </w:rPr>
        <w:t>UL/DL+UL positioning</w:t>
      </w:r>
    </w:p>
    <w:p>
      <w:pPr>
        <w:adjustRightInd w:val="0"/>
        <w:snapToGrid w:val="0"/>
        <w:spacing w:before="156" w:beforeLines="50" w:after="156" w:afterLines="50" w:line="240" w:lineRule="auto"/>
        <w:rPr>
          <w:rFonts w:hint="default" w:ascii="Times New Roman" w:hAnsi="Times New Roman"/>
          <w:kern w:val="0"/>
          <w:sz w:val="20"/>
          <w:szCs w:val="20"/>
          <w:lang w:val="en-US" w:eastAsia="zh-CN"/>
        </w:rPr>
      </w:pPr>
      <w:r>
        <w:rPr>
          <w:rFonts w:ascii="Times New Roman" w:hAnsi="Times New Roman"/>
          <w:kern w:val="0"/>
          <w:sz w:val="20"/>
          <w:szCs w:val="20"/>
          <w:lang w:val="en-US" w:eastAsia="zh-CN"/>
        </w:rPr>
        <w:t>For UL/UL+DL positioning (UL-TDOA, UL-AoA and multi-RTT), TRPs measure the SRS and perform measurement result, then gNB gathers TRPs measurements and reports to LMF. There may be error sources existing at TRP/gNB side, for example TRP measurement error. Thus, Rel-18 should also support NG-RAN nodes to report error bounds for TRP measurement error along with TRP measurement report. In addition, the principle of TRP reporting DNU flags should be the same with UE reporting, that is, TRPs can indicate to LMF that which measurement report should or should not be used in integrity results calculation.</w:t>
      </w:r>
      <w:r>
        <w:rPr>
          <w:rFonts w:hint="eastAsia" w:ascii="Times New Roman" w:hAnsi="Times New Roman"/>
          <w:kern w:val="0"/>
          <w:sz w:val="20"/>
          <w:szCs w:val="20"/>
          <w:lang w:val="en-US" w:eastAsia="zh-CN"/>
        </w:rPr>
        <w:t xml:space="preserve"> Further details can be left to RAN3 for decision.</w:t>
      </w:r>
      <w:bookmarkStart w:id="8" w:name="_GoBack"/>
      <w:bookmarkEnd w:id="8"/>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5: For RAT-dependent UL/DL+UL positioning methods, error bounds of TRP measurement error and DNU flags can be reported in the TRP measurement report.</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cs="Arial"/>
          <w:kern w:val="0"/>
          <w:sz w:val="28"/>
          <w:szCs w:val="32"/>
        </w:rPr>
        <w:t>Conclusion</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1: In Rel-18, support LMF-based integrity.</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2: In Rel-18, support to reuse the error bound and DNU flag in RAT-dependent positioning.</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hint="eastAsia" w:ascii="Times New Roman" w:hAnsi="Times New Roman"/>
          <w:b/>
          <w:i/>
          <w:kern w:val="0"/>
          <w:sz w:val="20"/>
          <w:szCs w:val="20"/>
          <w:lang w:val="en-US" w:eastAsia="zh-CN"/>
        </w:rPr>
        <w:t xml:space="preserve">Proposal 3: </w:t>
      </w:r>
      <w:r>
        <w:rPr>
          <w:rFonts w:ascii="Times New Roman" w:hAnsi="Times New Roman"/>
          <w:b/>
          <w:i/>
          <w:kern w:val="0"/>
          <w:sz w:val="20"/>
          <w:szCs w:val="20"/>
          <w:lang w:val="en-US" w:eastAsia="zh-CN"/>
        </w:rPr>
        <w:t>For RAT-dependent DL/DL+UL positioning methods, error bounds of assistance data error and DNU flags can be configured in the assistance data. FFS on per frequency layer, per TRP, per PRS resource set or per PRS resource</w:t>
      </w:r>
      <w:r>
        <w:rPr>
          <w:rFonts w:hint="eastAsia" w:ascii="Times New Roman" w:hAnsi="Times New Roman"/>
          <w:b/>
          <w:i/>
          <w:kern w:val="0"/>
          <w:sz w:val="20"/>
          <w:szCs w:val="20"/>
          <w:lang w:val="en-US" w:eastAsia="zh-CN"/>
        </w:rPr>
        <w:t xml:space="preserve"> configuration</w:t>
      </w:r>
      <w:r>
        <w:rPr>
          <w:rFonts w:ascii="Times New Roman" w:hAnsi="Times New Roman"/>
          <w:b/>
          <w:i/>
          <w:kern w:val="0"/>
          <w:sz w:val="20"/>
          <w:szCs w:val="20"/>
          <w:lang w:val="en-US" w:eastAsia="zh-CN"/>
        </w:rPr>
        <w:t>.</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4: For RAT-dependent DL/DL+UL positioning methods, error bounds of UE measurement error and DNU flags can be reported in the UE measurement report.</w:t>
      </w:r>
    </w:p>
    <w:p>
      <w:pPr>
        <w:adjustRightInd w:val="0"/>
        <w:snapToGrid w:val="0"/>
        <w:spacing w:before="156" w:beforeLines="50" w:after="156" w:afterLines="50" w:line="240" w:lineRule="auto"/>
        <w:rPr>
          <w:rFonts w:ascii="Times New Roman" w:hAnsi="Times New Roman"/>
          <w:b/>
          <w:i/>
          <w:kern w:val="0"/>
          <w:sz w:val="20"/>
          <w:szCs w:val="20"/>
          <w:lang w:val="en-US" w:eastAsia="zh-CN"/>
        </w:rPr>
      </w:pPr>
      <w:r>
        <w:rPr>
          <w:rFonts w:ascii="Times New Roman" w:hAnsi="Times New Roman"/>
          <w:b/>
          <w:i/>
          <w:kern w:val="0"/>
          <w:sz w:val="20"/>
          <w:szCs w:val="20"/>
          <w:lang w:val="en-US" w:eastAsia="zh-CN"/>
        </w:rPr>
        <w:t>Proposal 5: For RAT-dependent UL/DL+UL positioning methods, error bounds of TRP measurement error and DNU flags can be reported in the TRP measurement report.</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bookmarkStart w:id="5" w:name="_Toc18404543"/>
      <w:bookmarkStart w:id="6" w:name="_Toc18413612"/>
      <w:bookmarkStart w:id="7" w:name="_Toc18403976"/>
      <w:r>
        <w:rPr>
          <w:rFonts w:cs="Arial"/>
          <w:kern w:val="0"/>
          <w:sz w:val="28"/>
          <w:szCs w:val="32"/>
        </w:rPr>
        <w:t>References</w:t>
      </w:r>
      <w:bookmarkEnd w:id="5"/>
      <w:bookmarkEnd w:id="6"/>
      <w:bookmarkEnd w:id="7"/>
    </w:p>
    <w:p>
      <w:pPr>
        <w:numPr>
          <w:ilvl w:val="0"/>
          <w:numId w:val="10"/>
        </w:numPr>
        <w:adjustRightInd w:val="0"/>
        <w:snapToGrid w:val="0"/>
        <w:spacing w:before="156" w:beforeLines="50" w:after="156" w:afterLines="50" w:line="240" w:lineRule="auto"/>
        <w:rPr>
          <w:rFonts w:ascii="Times New Roman" w:hAnsi="Times New Roman"/>
          <w:color w:val="000000"/>
          <w:sz w:val="20"/>
          <w:szCs w:val="20"/>
        </w:rPr>
      </w:pPr>
      <w:r>
        <w:rPr>
          <w:rFonts w:ascii="Times New Roman" w:hAnsi="Times New Roman"/>
          <w:color w:val="000000"/>
          <w:sz w:val="20"/>
          <w:szCs w:val="20"/>
        </w:rPr>
        <w:t>RP-213588, Revised SID on Study on expanded and improved NR positioning</w:t>
      </w:r>
      <w:r>
        <w:rPr>
          <w:rFonts w:hint="eastAsia" w:ascii="Times New Roman" w:hAnsi="Times New Roman"/>
          <w:color w:val="000000"/>
          <w:sz w:val="20"/>
          <w:szCs w:val="20"/>
        </w:rPr>
        <w:t>, 2021-12</w:t>
      </w:r>
      <w:r>
        <w:rPr>
          <w:rFonts w:ascii="Times New Roman" w:hAnsi="Times New Roman"/>
          <w:color w:val="000000"/>
          <w:sz w:val="20"/>
          <w:szCs w:val="20"/>
        </w:rPr>
        <w:t>.</w:t>
      </w:r>
    </w:p>
    <w:p>
      <w:pPr>
        <w:numPr>
          <w:ilvl w:val="0"/>
          <w:numId w:val="10"/>
        </w:numPr>
        <w:adjustRightInd w:val="0"/>
        <w:snapToGrid w:val="0"/>
        <w:spacing w:before="156" w:beforeLines="50" w:after="156"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WG1 meeting #109-e, Online, May, 2022.</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5565A"/>
    <w:multiLevelType w:val="multilevel"/>
    <w:tmpl w:val="B165565A"/>
    <w:lvl w:ilvl="0" w:tentative="0">
      <w:start w:val="1"/>
      <w:numFmt w:val="decimal"/>
      <w:suff w:val="space"/>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4C33DE0"/>
    <w:multiLevelType w:val="multilevel"/>
    <w:tmpl w:val="14C33D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353"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32A94DCF"/>
    <w:multiLevelType w:val="multilevel"/>
    <w:tmpl w:val="32A94D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E021FD2"/>
    <w:multiLevelType w:val="multilevel"/>
    <w:tmpl w:val="3E021FD2"/>
    <w:lvl w:ilvl="0" w:tentative="0">
      <w:start w:val="2"/>
      <w:numFmt w:val="decimal"/>
      <w:lvlText w:val="%1"/>
      <w:lvlJc w:val="left"/>
      <w:pPr>
        <w:ind w:left="405" w:hanging="405"/>
      </w:pPr>
      <w:rPr>
        <w:rFonts w:hint="default"/>
      </w:rPr>
    </w:lvl>
    <w:lvl w:ilvl="1" w:tentative="0">
      <w:start w:val="1"/>
      <w:numFmt w:val="decimal"/>
      <w:lvlText w:val="%1.%2"/>
      <w:lvlJc w:val="left"/>
      <w:pPr>
        <w:ind w:left="1145" w:hanging="720"/>
      </w:pPr>
      <w:rPr>
        <w:rFonts w:hint="default"/>
      </w:rPr>
    </w:lvl>
    <w:lvl w:ilvl="2" w:tentative="0">
      <w:start w:val="1"/>
      <w:numFmt w:val="decimal"/>
      <w:lvlText w:val="%1.%2.%3"/>
      <w:lvlJc w:val="left"/>
      <w:pPr>
        <w:ind w:left="1570" w:hanging="720"/>
      </w:pPr>
      <w:rPr>
        <w:rFonts w:hint="default"/>
      </w:rPr>
    </w:lvl>
    <w:lvl w:ilvl="3" w:tentative="0">
      <w:start w:val="1"/>
      <w:numFmt w:val="decimal"/>
      <w:lvlText w:val="%1.%2.%3.%4"/>
      <w:lvlJc w:val="left"/>
      <w:pPr>
        <w:ind w:left="2355" w:hanging="1080"/>
      </w:pPr>
      <w:rPr>
        <w:rFonts w:hint="default"/>
      </w:rPr>
    </w:lvl>
    <w:lvl w:ilvl="4" w:tentative="0">
      <w:start w:val="1"/>
      <w:numFmt w:val="decimal"/>
      <w:lvlText w:val="%1.%2.%3.%4.%5"/>
      <w:lvlJc w:val="left"/>
      <w:pPr>
        <w:ind w:left="3140" w:hanging="1440"/>
      </w:pPr>
      <w:rPr>
        <w:rFonts w:hint="default"/>
      </w:rPr>
    </w:lvl>
    <w:lvl w:ilvl="5" w:tentative="0">
      <w:start w:val="1"/>
      <w:numFmt w:val="decimal"/>
      <w:lvlText w:val="%1.%2.%3.%4.%5.%6"/>
      <w:lvlJc w:val="left"/>
      <w:pPr>
        <w:ind w:left="3565" w:hanging="1440"/>
      </w:pPr>
      <w:rPr>
        <w:rFonts w:hint="default"/>
      </w:rPr>
    </w:lvl>
    <w:lvl w:ilvl="6" w:tentative="0">
      <w:start w:val="1"/>
      <w:numFmt w:val="decimal"/>
      <w:lvlText w:val="%1.%2.%3.%4.%5.%6.%7"/>
      <w:lvlJc w:val="left"/>
      <w:pPr>
        <w:ind w:left="4350" w:hanging="1800"/>
      </w:pPr>
      <w:rPr>
        <w:rFonts w:hint="default"/>
      </w:rPr>
    </w:lvl>
    <w:lvl w:ilvl="7" w:tentative="0">
      <w:start w:val="1"/>
      <w:numFmt w:val="decimal"/>
      <w:lvlText w:val="%1.%2.%3.%4.%5.%6.%7.%8"/>
      <w:lvlJc w:val="left"/>
      <w:pPr>
        <w:ind w:left="4775" w:hanging="1800"/>
      </w:pPr>
      <w:rPr>
        <w:rFonts w:hint="default"/>
      </w:rPr>
    </w:lvl>
    <w:lvl w:ilvl="8" w:tentative="0">
      <w:start w:val="1"/>
      <w:numFmt w:val="decimal"/>
      <w:lvlText w:val="%1.%2.%3.%4.%5.%6.%7.%8.%9"/>
      <w:lvlJc w:val="left"/>
      <w:pPr>
        <w:ind w:left="5560" w:hanging="2160"/>
      </w:pPr>
      <w:rPr>
        <w:rFonts w:hint="default"/>
      </w:rPr>
    </w:lvl>
  </w:abstractNum>
  <w:abstractNum w:abstractNumId="9">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9"/>
  </w:num>
  <w:num w:numId="3">
    <w:abstractNumId w:val="5"/>
  </w:num>
  <w:num w:numId="4">
    <w:abstractNumId w:val="6"/>
  </w:num>
  <w:num w:numId="5">
    <w:abstractNumId w:val="2"/>
  </w:num>
  <w:num w:numId="6">
    <w:abstractNumId w:val="3"/>
  </w:num>
  <w:num w:numId="7">
    <w:abstractNumId w:val="8"/>
  </w:num>
  <w:num w:numId="8">
    <w:abstractNumId w:val="7"/>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6EB6"/>
    <w:rsid w:val="0000762A"/>
    <w:rsid w:val="000103E7"/>
    <w:rsid w:val="0001278E"/>
    <w:rsid w:val="000130CA"/>
    <w:rsid w:val="00013FAD"/>
    <w:rsid w:val="000148BC"/>
    <w:rsid w:val="00016319"/>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1101"/>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3E84"/>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3E8"/>
    <w:rsid w:val="000B38F6"/>
    <w:rsid w:val="000B4B76"/>
    <w:rsid w:val="000B6418"/>
    <w:rsid w:val="000B65CB"/>
    <w:rsid w:val="000B780E"/>
    <w:rsid w:val="000C236D"/>
    <w:rsid w:val="000C2690"/>
    <w:rsid w:val="000C364E"/>
    <w:rsid w:val="000C48FF"/>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1C7"/>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742"/>
    <w:rsid w:val="00171FF9"/>
    <w:rsid w:val="0017245C"/>
    <w:rsid w:val="00175677"/>
    <w:rsid w:val="00175874"/>
    <w:rsid w:val="00175B74"/>
    <w:rsid w:val="001767E6"/>
    <w:rsid w:val="00176AC2"/>
    <w:rsid w:val="00176C41"/>
    <w:rsid w:val="001802FB"/>
    <w:rsid w:val="001806A8"/>
    <w:rsid w:val="00180983"/>
    <w:rsid w:val="0018310D"/>
    <w:rsid w:val="001841BA"/>
    <w:rsid w:val="00185C8F"/>
    <w:rsid w:val="00185CD6"/>
    <w:rsid w:val="00187FEF"/>
    <w:rsid w:val="00190A8D"/>
    <w:rsid w:val="0019214B"/>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A65"/>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17CA6"/>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02D"/>
    <w:rsid w:val="00270A1C"/>
    <w:rsid w:val="00271ED8"/>
    <w:rsid w:val="002730ED"/>
    <w:rsid w:val="00281718"/>
    <w:rsid w:val="002847A7"/>
    <w:rsid w:val="002855D0"/>
    <w:rsid w:val="002901F1"/>
    <w:rsid w:val="00290D06"/>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1968"/>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2F559D"/>
    <w:rsid w:val="00300EE0"/>
    <w:rsid w:val="003031CE"/>
    <w:rsid w:val="00305358"/>
    <w:rsid w:val="0030650B"/>
    <w:rsid w:val="003110B2"/>
    <w:rsid w:val="00312C1A"/>
    <w:rsid w:val="00312DD1"/>
    <w:rsid w:val="00313308"/>
    <w:rsid w:val="003144CA"/>
    <w:rsid w:val="00315838"/>
    <w:rsid w:val="00315CCF"/>
    <w:rsid w:val="0031625F"/>
    <w:rsid w:val="003171FD"/>
    <w:rsid w:val="00321077"/>
    <w:rsid w:val="003213D2"/>
    <w:rsid w:val="00322A09"/>
    <w:rsid w:val="00322CCC"/>
    <w:rsid w:val="00322EDB"/>
    <w:rsid w:val="0032502D"/>
    <w:rsid w:val="003268BB"/>
    <w:rsid w:val="0033001C"/>
    <w:rsid w:val="00330072"/>
    <w:rsid w:val="00330B4E"/>
    <w:rsid w:val="0033176D"/>
    <w:rsid w:val="003326BA"/>
    <w:rsid w:val="00332B9D"/>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BB7"/>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5946"/>
    <w:rsid w:val="003E6BF7"/>
    <w:rsid w:val="003E6F50"/>
    <w:rsid w:val="003E7C95"/>
    <w:rsid w:val="003E7D68"/>
    <w:rsid w:val="003F0F04"/>
    <w:rsid w:val="003F1437"/>
    <w:rsid w:val="003F3365"/>
    <w:rsid w:val="003F39E3"/>
    <w:rsid w:val="003F448B"/>
    <w:rsid w:val="003F58F6"/>
    <w:rsid w:val="003F6316"/>
    <w:rsid w:val="003F75E0"/>
    <w:rsid w:val="00401149"/>
    <w:rsid w:val="00402720"/>
    <w:rsid w:val="00402985"/>
    <w:rsid w:val="004031BD"/>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0606"/>
    <w:rsid w:val="00482BBB"/>
    <w:rsid w:val="00485114"/>
    <w:rsid w:val="00485AE4"/>
    <w:rsid w:val="00486111"/>
    <w:rsid w:val="00490BB5"/>
    <w:rsid w:val="0049176F"/>
    <w:rsid w:val="00492EA5"/>
    <w:rsid w:val="00493247"/>
    <w:rsid w:val="00494981"/>
    <w:rsid w:val="00495E19"/>
    <w:rsid w:val="00495F6D"/>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83E"/>
    <w:rsid w:val="00545A76"/>
    <w:rsid w:val="005505EB"/>
    <w:rsid w:val="005506C7"/>
    <w:rsid w:val="005511E9"/>
    <w:rsid w:val="005514AA"/>
    <w:rsid w:val="005521EC"/>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2B01"/>
    <w:rsid w:val="0057377D"/>
    <w:rsid w:val="00581A98"/>
    <w:rsid w:val="00585E04"/>
    <w:rsid w:val="0058687D"/>
    <w:rsid w:val="00586D2A"/>
    <w:rsid w:val="005910DD"/>
    <w:rsid w:val="005940C1"/>
    <w:rsid w:val="0059566C"/>
    <w:rsid w:val="0059585E"/>
    <w:rsid w:val="005A3156"/>
    <w:rsid w:val="005A4CA2"/>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1E78"/>
    <w:rsid w:val="00633DA7"/>
    <w:rsid w:val="00635291"/>
    <w:rsid w:val="006357BD"/>
    <w:rsid w:val="006408DC"/>
    <w:rsid w:val="006413AD"/>
    <w:rsid w:val="00641E8E"/>
    <w:rsid w:val="00643A7A"/>
    <w:rsid w:val="006450FE"/>
    <w:rsid w:val="0064545A"/>
    <w:rsid w:val="00645C93"/>
    <w:rsid w:val="006503F8"/>
    <w:rsid w:val="00650D0F"/>
    <w:rsid w:val="00651856"/>
    <w:rsid w:val="00651BEC"/>
    <w:rsid w:val="006521E7"/>
    <w:rsid w:val="006535BF"/>
    <w:rsid w:val="0065579F"/>
    <w:rsid w:val="00656E10"/>
    <w:rsid w:val="006608AE"/>
    <w:rsid w:val="006621D7"/>
    <w:rsid w:val="00663B22"/>
    <w:rsid w:val="00670351"/>
    <w:rsid w:val="006706AA"/>
    <w:rsid w:val="0067121E"/>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A6C5C"/>
    <w:rsid w:val="006B0BCD"/>
    <w:rsid w:val="006B0C35"/>
    <w:rsid w:val="006B0CBE"/>
    <w:rsid w:val="006B1340"/>
    <w:rsid w:val="006B1969"/>
    <w:rsid w:val="006B2F1E"/>
    <w:rsid w:val="006B3DD7"/>
    <w:rsid w:val="006B48F1"/>
    <w:rsid w:val="006B55B7"/>
    <w:rsid w:val="006C2C0C"/>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43D4"/>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5D72"/>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4C6F"/>
    <w:rsid w:val="007E5BA9"/>
    <w:rsid w:val="007E648F"/>
    <w:rsid w:val="007E6E32"/>
    <w:rsid w:val="007E771D"/>
    <w:rsid w:val="007F3DA7"/>
    <w:rsid w:val="007F4203"/>
    <w:rsid w:val="007F502E"/>
    <w:rsid w:val="007F55FC"/>
    <w:rsid w:val="007F65F6"/>
    <w:rsid w:val="007F6A42"/>
    <w:rsid w:val="007F6FA8"/>
    <w:rsid w:val="008013CA"/>
    <w:rsid w:val="00802795"/>
    <w:rsid w:val="00803C08"/>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86F"/>
    <w:rsid w:val="0088223F"/>
    <w:rsid w:val="00883C34"/>
    <w:rsid w:val="00884DAD"/>
    <w:rsid w:val="008850B6"/>
    <w:rsid w:val="008855E2"/>
    <w:rsid w:val="00885E69"/>
    <w:rsid w:val="00886521"/>
    <w:rsid w:val="00887F76"/>
    <w:rsid w:val="00891079"/>
    <w:rsid w:val="00891E8C"/>
    <w:rsid w:val="008937A3"/>
    <w:rsid w:val="0089509A"/>
    <w:rsid w:val="008A4FE1"/>
    <w:rsid w:val="008A5E28"/>
    <w:rsid w:val="008B02E5"/>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12DF"/>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9F3"/>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0D5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96517"/>
    <w:rsid w:val="00AA3298"/>
    <w:rsid w:val="00AA41AA"/>
    <w:rsid w:val="00AA435D"/>
    <w:rsid w:val="00AA64D0"/>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0DDB"/>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02D"/>
    <w:rsid w:val="00B65BF6"/>
    <w:rsid w:val="00B670CE"/>
    <w:rsid w:val="00B67B79"/>
    <w:rsid w:val="00B67E74"/>
    <w:rsid w:val="00B716F8"/>
    <w:rsid w:val="00B82234"/>
    <w:rsid w:val="00B8283E"/>
    <w:rsid w:val="00B832A6"/>
    <w:rsid w:val="00B837AA"/>
    <w:rsid w:val="00B87D03"/>
    <w:rsid w:val="00B90021"/>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4620"/>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06555"/>
    <w:rsid w:val="00C11361"/>
    <w:rsid w:val="00C11B89"/>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34B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61E"/>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68B8"/>
    <w:rsid w:val="00D90425"/>
    <w:rsid w:val="00D90CC5"/>
    <w:rsid w:val="00D92BCA"/>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D64F8"/>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11E"/>
    <w:rsid w:val="00F161F0"/>
    <w:rsid w:val="00F16AB3"/>
    <w:rsid w:val="00F202B4"/>
    <w:rsid w:val="00F25BEF"/>
    <w:rsid w:val="00F270BA"/>
    <w:rsid w:val="00F308AF"/>
    <w:rsid w:val="00F32911"/>
    <w:rsid w:val="00F337F8"/>
    <w:rsid w:val="00F3464D"/>
    <w:rsid w:val="00F34AA7"/>
    <w:rsid w:val="00F34C35"/>
    <w:rsid w:val="00F35C46"/>
    <w:rsid w:val="00F36774"/>
    <w:rsid w:val="00F402EC"/>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1AF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0391"/>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320"/>
    <w:rsid w:val="00FF29CE"/>
    <w:rsid w:val="00FF2E7C"/>
    <w:rsid w:val="00FF33F4"/>
    <w:rsid w:val="00FF3FC8"/>
    <w:rsid w:val="010B71C0"/>
    <w:rsid w:val="016F2955"/>
    <w:rsid w:val="01E06294"/>
    <w:rsid w:val="02090528"/>
    <w:rsid w:val="02096E03"/>
    <w:rsid w:val="021A15C5"/>
    <w:rsid w:val="0276200A"/>
    <w:rsid w:val="02852DB6"/>
    <w:rsid w:val="02AF57A1"/>
    <w:rsid w:val="02C63FE5"/>
    <w:rsid w:val="02F13DD8"/>
    <w:rsid w:val="03397D1D"/>
    <w:rsid w:val="034C2C19"/>
    <w:rsid w:val="03695ACD"/>
    <w:rsid w:val="036E1C26"/>
    <w:rsid w:val="037439E2"/>
    <w:rsid w:val="03811AAC"/>
    <w:rsid w:val="03BC3684"/>
    <w:rsid w:val="0427122D"/>
    <w:rsid w:val="04405CD4"/>
    <w:rsid w:val="04CA0EF3"/>
    <w:rsid w:val="05200A8E"/>
    <w:rsid w:val="05D1293B"/>
    <w:rsid w:val="05DD432B"/>
    <w:rsid w:val="06270E5D"/>
    <w:rsid w:val="06301129"/>
    <w:rsid w:val="06931225"/>
    <w:rsid w:val="06997BBE"/>
    <w:rsid w:val="06FD17FF"/>
    <w:rsid w:val="07332E45"/>
    <w:rsid w:val="07393CB3"/>
    <w:rsid w:val="074F610E"/>
    <w:rsid w:val="07645E7E"/>
    <w:rsid w:val="07815AA2"/>
    <w:rsid w:val="07DB31F6"/>
    <w:rsid w:val="08036844"/>
    <w:rsid w:val="083828A5"/>
    <w:rsid w:val="08634AA9"/>
    <w:rsid w:val="086A0D8F"/>
    <w:rsid w:val="08870B03"/>
    <w:rsid w:val="08F85767"/>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750F68"/>
    <w:rsid w:val="0A8417D4"/>
    <w:rsid w:val="0AE61C59"/>
    <w:rsid w:val="0AEC356E"/>
    <w:rsid w:val="0AF22A25"/>
    <w:rsid w:val="0B545B44"/>
    <w:rsid w:val="0BFC2A25"/>
    <w:rsid w:val="0C34609D"/>
    <w:rsid w:val="0C4A196E"/>
    <w:rsid w:val="0C567D3B"/>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5F30"/>
    <w:rsid w:val="120048B1"/>
    <w:rsid w:val="12015140"/>
    <w:rsid w:val="12394E59"/>
    <w:rsid w:val="1299671F"/>
    <w:rsid w:val="12A742B1"/>
    <w:rsid w:val="12C40C84"/>
    <w:rsid w:val="12E63AB1"/>
    <w:rsid w:val="131813A1"/>
    <w:rsid w:val="13DC640D"/>
    <w:rsid w:val="141842FE"/>
    <w:rsid w:val="14352831"/>
    <w:rsid w:val="146B64E1"/>
    <w:rsid w:val="14993B21"/>
    <w:rsid w:val="14D73601"/>
    <w:rsid w:val="15014A40"/>
    <w:rsid w:val="15442AC7"/>
    <w:rsid w:val="156B4B8B"/>
    <w:rsid w:val="15890495"/>
    <w:rsid w:val="15CB3D7D"/>
    <w:rsid w:val="15E03D6F"/>
    <w:rsid w:val="15EE6FF0"/>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F32BCE"/>
    <w:rsid w:val="18FC4F8D"/>
    <w:rsid w:val="18FF4ABB"/>
    <w:rsid w:val="19343406"/>
    <w:rsid w:val="1A45032B"/>
    <w:rsid w:val="1A640E62"/>
    <w:rsid w:val="1A694128"/>
    <w:rsid w:val="1A713779"/>
    <w:rsid w:val="1A84217D"/>
    <w:rsid w:val="1A9B1F53"/>
    <w:rsid w:val="1ABB54B3"/>
    <w:rsid w:val="1AE025B8"/>
    <w:rsid w:val="1B3D4012"/>
    <w:rsid w:val="1B481AFB"/>
    <w:rsid w:val="1B7A1663"/>
    <w:rsid w:val="1B8F6978"/>
    <w:rsid w:val="1BA669C0"/>
    <w:rsid w:val="1BC27038"/>
    <w:rsid w:val="1BC73993"/>
    <w:rsid w:val="1BD24B16"/>
    <w:rsid w:val="1BF62321"/>
    <w:rsid w:val="1C130C67"/>
    <w:rsid w:val="1C1A3F41"/>
    <w:rsid w:val="1C2D5D31"/>
    <w:rsid w:val="1C696E9C"/>
    <w:rsid w:val="1CBD093F"/>
    <w:rsid w:val="1CC83450"/>
    <w:rsid w:val="1CE21C50"/>
    <w:rsid w:val="1CE9601A"/>
    <w:rsid w:val="1D235F66"/>
    <w:rsid w:val="1D60463E"/>
    <w:rsid w:val="1D665A9E"/>
    <w:rsid w:val="1D667D51"/>
    <w:rsid w:val="1D8D3AB3"/>
    <w:rsid w:val="1DC566C0"/>
    <w:rsid w:val="1DE501D0"/>
    <w:rsid w:val="1E21472F"/>
    <w:rsid w:val="1E2442EB"/>
    <w:rsid w:val="1E2804C4"/>
    <w:rsid w:val="1E2C49A1"/>
    <w:rsid w:val="1E3722FA"/>
    <w:rsid w:val="1E8146DA"/>
    <w:rsid w:val="1EA46EA2"/>
    <w:rsid w:val="1EAA39F6"/>
    <w:rsid w:val="1EB2633F"/>
    <w:rsid w:val="1EB847E9"/>
    <w:rsid w:val="1F8E0455"/>
    <w:rsid w:val="1FA76059"/>
    <w:rsid w:val="1FAF272D"/>
    <w:rsid w:val="1FDB17D6"/>
    <w:rsid w:val="1FE374E8"/>
    <w:rsid w:val="1FFC5344"/>
    <w:rsid w:val="204934AB"/>
    <w:rsid w:val="20573F56"/>
    <w:rsid w:val="20705710"/>
    <w:rsid w:val="20840318"/>
    <w:rsid w:val="20930DFA"/>
    <w:rsid w:val="20CE5836"/>
    <w:rsid w:val="20D02BC7"/>
    <w:rsid w:val="20F0405B"/>
    <w:rsid w:val="210637EE"/>
    <w:rsid w:val="21070BE4"/>
    <w:rsid w:val="210948AE"/>
    <w:rsid w:val="211E529B"/>
    <w:rsid w:val="212F726E"/>
    <w:rsid w:val="213A5E32"/>
    <w:rsid w:val="214425B4"/>
    <w:rsid w:val="218F6DAE"/>
    <w:rsid w:val="21A40526"/>
    <w:rsid w:val="21D36B48"/>
    <w:rsid w:val="21D93ECC"/>
    <w:rsid w:val="221B7641"/>
    <w:rsid w:val="222E4F94"/>
    <w:rsid w:val="224F5646"/>
    <w:rsid w:val="229A0A46"/>
    <w:rsid w:val="22BD0C78"/>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3E633F"/>
    <w:rsid w:val="267E599C"/>
    <w:rsid w:val="26995B41"/>
    <w:rsid w:val="26C17FC8"/>
    <w:rsid w:val="26D04B06"/>
    <w:rsid w:val="27771F24"/>
    <w:rsid w:val="27B132D6"/>
    <w:rsid w:val="27FF1FDA"/>
    <w:rsid w:val="28026CAF"/>
    <w:rsid w:val="28915210"/>
    <w:rsid w:val="28937E74"/>
    <w:rsid w:val="29095102"/>
    <w:rsid w:val="293E1B9C"/>
    <w:rsid w:val="299F2C32"/>
    <w:rsid w:val="29A240AE"/>
    <w:rsid w:val="29A81AA0"/>
    <w:rsid w:val="29B32846"/>
    <w:rsid w:val="29ED63D5"/>
    <w:rsid w:val="2A275682"/>
    <w:rsid w:val="2A275D46"/>
    <w:rsid w:val="2AA14025"/>
    <w:rsid w:val="2ACA4643"/>
    <w:rsid w:val="2B2348E2"/>
    <w:rsid w:val="2B410587"/>
    <w:rsid w:val="2B5D0645"/>
    <w:rsid w:val="2B8D6E28"/>
    <w:rsid w:val="2B907720"/>
    <w:rsid w:val="2BCD0751"/>
    <w:rsid w:val="2BE867E9"/>
    <w:rsid w:val="2C227360"/>
    <w:rsid w:val="2C597276"/>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FB709E"/>
    <w:rsid w:val="2E09336F"/>
    <w:rsid w:val="2E1874A7"/>
    <w:rsid w:val="2E291A3B"/>
    <w:rsid w:val="2EC27772"/>
    <w:rsid w:val="2ED0428B"/>
    <w:rsid w:val="2EF02B88"/>
    <w:rsid w:val="2F263E1B"/>
    <w:rsid w:val="2F337D9E"/>
    <w:rsid w:val="300160A4"/>
    <w:rsid w:val="3003631E"/>
    <w:rsid w:val="30745F5B"/>
    <w:rsid w:val="3078124A"/>
    <w:rsid w:val="3090209F"/>
    <w:rsid w:val="30953FB5"/>
    <w:rsid w:val="30B900CD"/>
    <w:rsid w:val="30EF2DA4"/>
    <w:rsid w:val="31623402"/>
    <w:rsid w:val="31EB4942"/>
    <w:rsid w:val="31EC5E5F"/>
    <w:rsid w:val="32057AAD"/>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FA0996"/>
    <w:rsid w:val="392957F1"/>
    <w:rsid w:val="39467E4B"/>
    <w:rsid w:val="396E02FE"/>
    <w:rsid w:val="39781F0B"/>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D0F30FA"/>
    <w:rsid w:val="3D634A82"/>
    <w:rsid w:val="3D9210CE"/>
    <w:rsid w:val="3D984876"/>
    <w:rsid w:val="3DAC0E95"/>
    <w:rsid w:val="3E7A082F"/>
    <w:rsid w:val="3E926EC3"/>
    <w:rsid w:val="3E93478A"/>
    <w:rsid w:val="3E9F10BF"/>
    <w:rsid w:val="3EAB4933"/>
    <w:rsid w:val="3EC40624"/>
    <w:rsid w:val="3F0875E3"/>
    <w:rsid w:val="3F09726C"/>
    <w:rsid w:val="3F1F25CF"/>
    <w:rsid w:val="3F4275F7"/>
    <w:rsid w:val="3F495E7B"/>
    <w:rsid w:val="3F5B21D1"/>
    <w:rsid w:val="3F73510D"/>
    <w:rsid w:val="3FB60A94"/>
    <w:rsid w:val="3FBD74AC"/>
    <w:rsid w:val="402D7D95"/>
    <w:rsid w:val="402F67F2"/>
    <w:rsid w:val="402F7D1A"/>
    <w:rsid w:val="405E7B10"/>
    <w:rsid w:val="40E74724"/>
    <w:rsid w:val="411531A3"/>
    <w:rsid w:val="414B0A93"/>
    <w:rsid w:val="415723A1"/>
    <w:rsid w:val="41643432"/>
    <w:rsid w:val="421B0E01"/>
    <w:rsid w:val="42397238"/>
    <w:rsid w:val="42481B2A"/>
    <w:rsid w:val="428328E7"/>
    <w:rsid w:val="42F81741"/>
    <w:rsid w:val="437906BF"/>
    <w:rsid w:val="43896179"/>
    <w:rsid w:val="43945CC5"/>
    <w:rsid w:val="43BC7AB7"/>
    <w:rsid w:val="43CE3BC6"/>
    <w:rsid w:val="43FB5AF0"/>
    <w:rsid w:val="440B4BBE"/>
    <w:rsid w:val="44211E9A"/>
    <w:rsid w:val="442F70A4"/>
    <w:rsid w:val="4454633F"/>
    <w:rsid w:val="44555A83"/>
    <w:rsid w:val="446A1C8A"/>
    <w:rsid w:val="448E37BC"/>
    <w:rsid w:val="44C70D28"/>
    <w:rsid w:val="44EE2D37"/>
    <w:rsid w:val="44F2313F"/>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0AC3"/>
    <w:rsid w:val="48283643"/>
    <w:rsid w:val="484C3C28"/>
    <w:rsid w:val="48516D40"/>
    <w:rsid w:val="486A5C7B"/>
    <w:rsid w:val="48BB3F94"/>
    <w:rsid w:val="48DE0121"/>
    <w:rsid w:val="48DF2E4F"/>
    <w:rsid w:val="48E03D9C"/>
    <w:rsid w:val="490B656E"/>
    <w:rsid w:val="49374149"/>
    <w:rsid w:val="49613924"/>
    <w:rsid w:val="496D0F3E"/>
    <w:rsid w:val="49736122"/>
    <w:rsid w:val="49BA69E4"/>
    <w:rsid w:val="49E12571"/>
    <w:rsid w:val="49E378C6"/>
    <w:rsid w:val="4A2C24D8"/>
    <w:rsid w:val="4A65348B"/>
    <w:rsid w:val="4A834EBE"/>
    <w:rsid w:val="4AB03CA7"/>
    <w:rsid w:val="4B3040AF"/>
    <w:rsid w:val="4B55574A"/>
    <w:rsid w:val="4B8B3072"/>
    <w:rsid w:val="4BA90131"/>
    <w:rsid w:val="4BB36285"/>
    <w:rsid w:val="4BD35EC5"/>
    <w:rsid w:val="4BF55CE7"/>
    <w:rsid w:val="4C1B3C0A"/>
    <w:rsid w:val="4C4846F9"/>
    <w:rsid w:val="4CAC205F"/>
    <w:rsid w:val="4CBC728A"/>
    <w:rsid w:val="4CD02623"/>
    <w:rsid w:val="4CFB69A6"/>
    <w:rsid w:val="4D2316EA"/>
    <w:rsid w:val="4D267491"/>
    <w:rsid w:val="4D830955"/>
    <w:rsid w:val="4DBA0BBF"/>
    <w:rsid w:val="4DF641D3"/>
    <w:rsid w:val="4E3E017D"/>
    <w:rsid w:val="4E595188"/>
    <w:rsid w:val="4E5F59DA"/>
    <w:rsid w:val="4E9C207E"/>
    <w:rsid w:val="4EA44C2A"/>
    <w:rsid w:val="4EB52600"/>
    <w:rsid w:val="4EF04DAF"/>
    <w:rsid w:val="4EF23E87"/>
    <w:rsid w:val="4F2941D5"/>
    <w:rsid w:val="4FFC0A94"/>
    <w:rsid w:val="50081059"/>
    <w:rsid w:val="509C4E92"/>
    <w:rsid w:val="50DE4787"/>
    <w:rsid w:val="50F36CD9"/>
    <w:rsid w:val="512E641B"/>
    <w:rsid w:val="517D059D"/>
    <w:rsid w:val="519A289D"/>
    <w:rsid w:val="51FA56D9"/>
    <w:rsid w:val="521723B7"/>
    <w:rsid w:val="523F7F97"/>
    <w:rsid w:val="52564B75"/>
    <w:rsid w:val="52FA6FA7"/>
    <w:rsid w:val="53047529"/>
    <w:rsid w:val="53B9060B"/>
    <w:rsid w:val="54107975"/>
    <w:rsid w:val="5451551D"/>
    <w:rsid w:val="548B3E8B"/>
    <w:rsid w:val="548C2C0D"/>
    <w:rsid w:val="54D6790A"/>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B548D9"/>
    <w:rsid w:val="57BD0A78"/>
    <w:rsid w:val="57DC6FDD"/>
    <w:rsid w:val="57FB5F50"/>
    <w:rsid w:val="58067D1A"/>
    <w:rsid w:val="586919C2"/>
    <w:rsid w:val="58984B29"/>
    <w:rsid w:val="589E7340"/>
    <w:rsid w:val="58B03A4A"/>
    <w:rsid w:val="590D5DDF"/>
    <w:rsid w:val="592B53B8"/>
    <w:rsid w:val="596D2668"/>
    <w:rsid w:val="596F34AA"/>
    <w:rsid w:val="59974D7F"/>
    <w:rsid w:val="59BB0E7C"/>
    <w:rsid w:val="59C407FC"/>
    <w:rsid w:val="59C754AB"/>
    <w:rsid w:val="59E079AB"/>
    <w:rsid w:val="5A375749"/>
    <w:rsid w:val="5A5A162D"/>
    <w:rsid w:val="5A726BA0"/>
    <w:rsid w:val="5AB04EA5"/>
    <w:rsid w:val="5AB82FDD"/>
    <w:rsid w:val="5AD3204F"/>
    <w:rsid w:val="5AE94788"/>
    <w:rsid w:val="5B071BBA"/>
    <w:rsid w:val="5B3C55BF"/>
    <w:rsid w:val="5B63756F"/>
    <w:rsid w:val="5B725B6B"/>
    <w:rsid w:val="5BBE026D"/>
    <w:rsid w:val="5BD439A7"/>
    <w:rsid w:val="5BDF3319"/>
    <w:rsid w:val="5BE14EE6"/>
    <w:rsid w:val="5C7979D9"/>
    <w:rsid w:val="5C991133"/>
    <w:rsid w:val="5C995E25"/>
    <w:rsid w:val="5D5144C0"/>
    <w:rsid w:val="5D8D143F"/>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601A7A49"/>
    <w:rsid w:val="602F4794"/>
    <w:rsid w:val="607F4912"/>
    <w:rsid w:val="60881A7C"/>
    <w:rsid w:val="609751E5"/>
    <w:rsid w:val="60C10976"/>
    <w:rsid w:val="61563C9D"/>
    <w:rsid w:val="61C16E82"/>
    <w:rsid w:val="61D81A5C"/>
    <w:rsid w:val="620D1678"/>
    <w:rsid w:val="624F1D5A"/>
    <w:rsid w:val="62B8321C"/>
    <w:rsid w:val="630962B4"/>
    <w:rsid w:val="63766DF5"/>
    <w:rsid w:val="63BE6B4B"/>
    <w:rsid w:val="63D91547"/>
    <w:rsid w:val="63E41E32"/>
    <w:rsid w:val="6406254B"/>
    <w:rsid w:val="643636FB"/>
    <w:rsid w:val="64522BD2"/>
    <w:rsid w:val="646766DC"/>
    <w:rsid w:val="648A4A7E"/>
    <w:rsid w:val="64E010F2"/>
    <w:rsid w:val="6503009D"/>
    <w:rsid w:val="651E5E20"/>
    <w:rsid w:val="65535A1B"/>
    <w:rsid w:val="65654DFF"/>
    <w:rsid w:val="657E2D0B"/>
    <w:rsid w:val="657F68B0"/>
    <w:rsid w:val="65817DB1"/>
    <w:rsid w:val="65A73C26"/>
    <w:rsid w:val="65D84197"/>
    <w:rsid w:val="65F12F76"/>
    <w:rsid w:val="65FE510C"/>
    <w:rsid w:val="660E507B"/>
    <w:rsid w:val="66373410"/>
    <w:rsid w:val="66576902"/>
    <w:rsid w:val="669369C9"/>
    <w:rsid w:val="66943B2D"/>
    <w:rsid w:val="66A9581B"/>
    <w:rsid w:val="66D82AA7"/>
    <w:rsid w:val="66E9436F"/>
    <w:rsid w:val="670859AA"/>
    <w:rsid w:val="67165E6D"/>
    <w:rsid w:val="675A1CF7"/>
    <w:rsid w:val="6761194F"/>
    <w:rsid w:val="67626BF9"/>
    <w:rsid w:val="677B09DF"/>
    <w:rsid w:val="677F7400"/>
    <w:rsid w:val="67A01566"/>
    <w:rsid w:val="67A63D55"/>
    <w:rsid w:val="67A84465"/>
    <w:rsid w:val="67AB3B49"/>
    <w:rsid w:val="67CF3424"/>
    <w:rsid w:val="67FA2480"/>
    <w:rsid w:val="67FF610F"/>
    <w:rsid w:val="68157B1D"/>
    <w:rsid w:val="683220D0"/>
    <w:rsid w:val="68384317"/>
    <w:rsid w:val="68566A84"/>
    <w:rsid w:val="685F312A"/>
    <w:rsid w:val="68603781"/>
    <w:rsid w:val="68936B0A"/>
    <w:rsid w:val="68CC70D7"/>
    <w:rsid w:val="69291ACC"/>
    <w:rsid w:val="693F57CE"/>
    <w:rsid w:val="69433D4A"/>
    <w:rsid w:val="696B32FD"/>
    <w:rsid w:val="69797C2C"/>
    <w:rsid w:val="69AB78DD"/>
    <w:rsid w:val="69C56B8B"/>
    <w:rsid w:val="69D171A3"/>
    <w:rsid w:val="69D74CDC"/>
    <w:rsid w:val="6A206938"/>
    <w:rsid w:val="6A2F1F48"/>
    <w:rsid w:val="6A6C5A40"/>
    <w:rsid w:val="6A9B47A1"/>
    <w:rsid w:val="6AFA1EBA"/>
    <w:rsid w:val="6AFF14C0"/>
    <w:rsid w:val="6B081F48"/>
    <w:rsid w:val="6B0E13E7"/>
    <w:rsid w:val="6B1301B0"/>
    <w:rsid w:val="6B29781B"/>
    <w:rsid w:val="6B5068BA"/>
    <w:rsid w:val="6BFF0085"/>
    <w:rsid w:val="6C2F5929"/>
    <w:rsid w:val="6C321BE0"/>
    <w:rsid w:val="6C5569A0"/>
    <w:rsid w:val="6CBE6C13"/>
    <w:rsid w:val="6D17028B"/>
    <w:rsid w:val="6D2552D8"/>
    <w:rsid w:val="6D302D5D"/>
    <w:rsid w:val="6D3C235D"/>
    <w:rsid w:val="6D935AB0"/>
    <w:rsid w:val="6DA62403"/>
    <w:rsid w:val="6DF5498C"/>
    <w:rsid w:val="6E087119"/>
    <w:rsid w:val="6E0A3A07"/>
    <w:rsid w:val="6E372360"/>
    <w:rsid w:val="6E4F724A"/>
    <w:rsid w:val="6E60770D"/>
    <w:rsid w:val="6EB80F65"/>
    <w:rsid w:val="6F037853"/>
    <w:rsid w:val="6F0B0650"/>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B4AB7"/>
    <w:rsid w:val="717C199B"/>
    <w:rsid w:val="71EF2FA5"/>
    <w:rsid w:val="720E19E5"/>
    <w:rsid w:val="7210341D"/>
    <w:rsid w:val="725F7758"/>
    <w:rsid w:val="7261110F"/>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4915E5"/>
    <w:rsid w:val="759318B9"/>
    <w:rsid w:val="75DF32A0"/>
    <w:rsid w:val="75ED010F"/>
    <w:rsid w:val="760A43BF"/>
    <w:rsid w:val="761321E0"/>
    <w:rsid w:val="761450E8"/>
    <w:rsid w:val="7648032C"/>
    <w:rsid w:val="765D589D"/>
    <w:rsid w:val="76732694"/>
    <w:rsid w:val="76A133C0"/>
    <w:rsid w:val="76D36025"/>
    <w:rsid w:val="77250572"/>
    <w:rsid w:val="772F2936"/>
    <w:rsid w:val="773F3622"/>
    <w:rsid w:val="776B6DA8"/>
    <w:rsid w:val="779D5554"/>
    <w:rsid w:val="77AF6C41"/>
    <w:rsid w:val="77B21E06"/>
    <w:rsid w:val="77DE796E"/>
    <w:rsid w:val="78035215"/>
    <w:rsid w:val="780F0912"/>
    <w:rsid w:val="784F6AB7"/>
    <w:rsid w:val="78D61CB2"/>
    <w:rsid w:val="78F104FB"/>
    <w:rsid w:val="78FD61AA"/>
    <w:rsid w:val="79493EB1"/>
    <w:rsid w:val="797C66CF"/>
    <w:rsid w:val="79A21387"/>
    <w:rsid w:val="7A7550A6"/>
    <w:rsid w:val="7AAF3771"/>
    <w:rsid w:val="7AE335B2"/>
    <w:rsid w:val="7AEC001A"/>
    <w:rsid w:val="7B475761"/>
    <w:rsid w:val="7B49298E"/>
    <w:rsid w:val="7B7B57F5"/>
    <w:rsid w:val="7B7D3C44"/>
    <w:rsid w:val="7BE208A5"/>
    <w:rsid w:val="7BE3068E"/>
    <w:rsid w:val="7C150EF5"/>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sz w:val="24"/>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8">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89">
    <w:name w:val="3GPP Agreements"/>
    <w:basedOn w:val="1"/>
    <w:qFormat/>
    <w:uiPriority w:val="0"/>
    <w:pPr>
      <w:widowControl/>
      <w:autoSpaceDE w:val="0"/>
      <w:autoSpaceDN w:val="0"/>
      <w:adjustRightInd w:val="0"/>
      <w:snapToGrid w:val="0"/>
      <w:spacing w:before="100" w:beforeAutospacing="1" w:after="120" w:line="240" w:lineRule="auto"/>
      <w:ind w:left="284" w:hanging="284"/>
    </w:pPr>
    <w:rPr>
      <w:rFonts w:ascii="Times New Roman" w:hAnsi="Times New Roman" w:eastAsia="宋体"/>
      <w:kern w:val="0"/>
      <w:sz w:val="22"/>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2A4A7F-79E4-4333-A856-501A50AF8441}">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1372</Words>
  <Characters>7827</Characters>
  <Lines>65</Lines>
  <Paragraphs>18</Paragraphs>
  <TotalTime>7</TotalTime>
  <ScaleCrop>false</ScaleCrop>
  <LinksUpToDate>false</LinksUpToDate>
  <CharactersWithSpaces>9181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2022-08-09T07:07:00Z</dcterms:created>
  <dc:creator>10033860</dc:creator>
  <cp:lastModifiedBy>00255772</cp:lastModifiedBy>
  <cp:lastPrinted>2113-01-01T00:00:00Z</cp:lastPrinted>
  <dcterms:modified xsi:type="dcterms:W3CDTF">2022-08-09T08:40:27Z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